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AA044" w14:textId="77777777" w:rsidR="00756E1A" w:rsidRDefault="00756E1A" w:rsidP="00756E1A">
      <w:pPr>
        <w:pStyle w:val="4"/>
        <w:spacing w:before="0" w:line="240" w:lineRule="auto"/>
        <w:ind w:left="5670" w:right="-1"/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</w:pPr>
      <w:r w:rsidRPr="006F37CB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ЗАТВЕРДЖЕНО</w:t>
      </w:r>
    </w:p>
    <w:p w14:paraId="28D30F32" w14:textId="77777777" w:rsidR="00756E1A" w:rsidRPr="006F37CB" w:rsidRDefault="00756E1A" w:rsidP="00756E1A">
      <w:pPr>
        <w:spacing w:after="0" w:line="240" w:lineRule="auto"/>
        <w:rPr>
          <w:sz w:val="10"/>
          <w:szCs w:val="10"/>
          <w:lang w:val="uk-UA"/>
        </w:rPr>
      </w:pPr>
    </w:p>
    <w:p w14:paraId="43FAB75F" w14:textId="77777777" w:rsidR="00756E1A" w:rsidRPr="006F37CB" w:rsidRDefault="00756E1A" w:rsidP="00756E1A">
      <w:pPr>
        <w:pStyle w:val="4"/>
        <w:spacing w:before="0" w:line="240" w:lineRule="auto"/>
        <w:ind w:left="5670" w:right="-1"/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</w:pPr>
      <w:r w:rsidRPr="006F37CB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 xml:space="preserve">Розпорядження </w:t>
      </w:r>
      <w:r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начальника</w:t>
      </w:r>
    </w:p>
    <w:p w14:paraId="045998EC" w14:textId="77777777" w:rsidR="00756E1A" w:rsidRPr="006F37CB" w:rsidRDefault="00756E1A" w:rsidP="00756E1A">
      <w:pPr>
        <w:pStyle w:val="4"/>
        <w:spacing w:before="0" w:line="240" w:lineRule="auto"/>
        <w:ind w:left="5670" w:right="-143"/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</w:pPr>
      <w:r w:rsidRPr="006F37CB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 xml:space="preserve">обласної </w:t>
      </w:r>
      <w:r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військов</w:t>
      </w:r>
      <w:r w:rsidRPr="006F37CB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 xml:space="preserve">ої адміністрації </w:t>
      </w:r>
    </w:p>
    <w:p w14:paraId="7C4C4E4D" w14:textId="77777777" w:rsidR="00756E1A" w:rsidRPr="006F37CB" w:rsidRDefault="00756E1A" w:rsidP="00756E1A">
      <w:pPr>
        <w:spacing w:after="0" w:line="240" w:lineRule="auto"/>
        <w:ind w:left="5670" w:right="-1"/>
        <w:rPr>
          <w:rFonts w:ascii="Times New Roman" w:hAnsi="Times New Roman" w:cs="Times New Roman"/>
          <w:sz w:val="16"/>
          <w:szCs w:val="16"/>
          <w:lang w:val="uk-UA"/>
        </w:rPr>
      </w:pPr>
    </w:p>
    <w:p w14:paraId="1664E57F" w14:textId="68A2E584" w:rsidR="00756E1A" w:rsidRPr="006F37CB" w:rsidRDefault="00CC6AB8" w:rsidP="00756E1A">
      <w:pPr>
        <w:spacing w:after="0" w:line="240" w:lineRule="auto"/>
        <w:ind w:left="5670" w:right="-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AF4CC9">
        <w:rPr>
          <w:rFonts w:ascii="Times New Roman" w:hAnsi="Times New Roman" w:cs="Times New Roman"/>
          <w:sz w:val="28"/>
          <w:szCs w:val="28"/>
          <w:lang w:val="uk-UA"/>
        </w:rPr>
        <w:t xml:space="preserve">.10.2023 </w:t>
      </w:r>
      <w:r w:rsidR="00756E1A">
        <w:rPr>
          <w:rFonts w:ascii="Times New Roman" w:hAnsi="Times New Roman" w:cs="Times New Roman"/>
          <w:sz w:val="28"/>
          <w:szCs w:val="28"/>
          <w:lang w:val="uk-UA"/>
        </w:rPr>
        <w:t>№ </w:t>
      </w:r>
      <w:r>
        <w:rPr>
          <w:rFonts w:ascii="Times New Roman" w:hAnsi="Times New Roman" w:cs="Times New Roman"/>
          <w:sz w:val="28"/>
          <w:szCs w:val="28"/>
          <w:lang w:val="uk-UA"/>
        </w:rPr>
        <w:t>444</w:t>
      </w:r>
    </w:p>
    <w:p w14:paraId="37C506FD" w14:textId="77777777" w:rsidR="00756E1A" w:rsidRPr="00BC5B2B" w:rsidRDefault="00756E1A" w:rsidP="00756E1A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14:paraId="1CA9E730" w14:textId="77777777" w:rsidR="00756E1A" w:rsidRPr="00BC5B2B" w:rsidRDefault="00756E1A" w:rsidP="00756E1A">
      <w:pPr>
        <w:spacing w:after="0" w:line="280" w:lineRule="exact"/>
        <w:jc w:val="center"/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ПОЛОЖЕНН</w:t>
      </w:r>
      <w:r w:rsidRPr="00BC5B2B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Я</w:t>
      </w:r>
    </w:p>
    <w:p w14:paraId="3D16D6A8" w14:textId="77777777" w:rsidR="00756E1A" w:rsidRDefault="00756E1A" w:rsidP="000D51F7">
      <w:pPr>
        <w:spacing w:after="0" w:line="280" w:lineRule="exact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C5B2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</w:t>
      </w:r>
      <w:r w:rsidR="000D51F7">
        <w:rPr>
          <w:rFonts w:ascii="Times New Roman" w:eastAsia="Times New Roman" w:hAnsi="Times New Roman" w:cs="Times New Roman"/>
          <w:sz w:val="28"/>
          <w:szCs w:val="28"/>
          <w:lang w:val="uk-UA"/>
        </w:rPr>
        <w:t>Регіональний Офіс Конгресу місцевих та регіональних влад при Президентові України у Волинській області</w:t>
      </w:r>
    </w:p>
    <w:p w14:paraId="3035CA0B" w14:textId="77777777" w:rsidR="00756E1A" w:rsidRDefault="00756E1A" w:rsidP="00756E1A">
      <w:pP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A94C7C3" w14:textId="77777777" w:rsidR="00232DFC" w:rsidRPr="00B02569" w:rsidRDefault="00AF4CC9" w:rsidP="00B02569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1. </w:t>
      </w:r>
      <w:r w:rsidR="00232DFC" w:rsidRPr="00B025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Регіональний Офіс </w:t>
      </w:r>
      <w:r w:rsidR="00232DFC"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Конгрес</w:t>
      </w:r>
      <w:r w:rsidR="00232D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232DFC"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місцевих та регіональних влад пр</w:t>
      </w:r>
      <w:r w:rsidR="00F116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 Президентові України (далі – Регіональний Офіс Конгресу</w:t>
      </w:r>
      <w:r w:rsidR="00232DFC"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є консультативно-дорадчим органом.</w:t>
      </w:r>
    </w:p>
    <w:p w14:paraId="58C04D6B" w14:textId="77777777" w:rsidR="00232DFC" w:rsidRDefault="00756E1A" w:rsidP="00AF4CC9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25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F116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Регіональний Офіс Конгресу</w:t>
      </w:r>
      <w:r w:rsidR="00232DFC"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своїй діяльності керується </w:t>
      </w:r>
      <w:hyperlink r:id="rId7" w:anchor="n4976" w:tgtFrame="_blank" w:history="1">
        <w:r w:rsidR="00232DFC" w:rsidRPr="00B02569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Конституцією</w:t>
        </w:r>
      </w:hyperlink>
      <w:r w:rsidR="00232DFC" w:rsidRPr="00B025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України,</w:t>
      </w:r>
      <w:r w:rsidR="00232DFC"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законами України, актами Президента України, Кабінету Міністрів України, іншими актами законодавства,</w:t>
      </w:r>
      <w:r w:rsidR="00232DFC" w:rsidRPr="00B025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розпорядженнями голови обласної державної адміністрації,</w:t>
      </w:r>
      <w:r w:rsidR="00232DFC"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 також цим Положенням.</w:t>
      </w:r>
    </w:p>
    <w:p w14:paraId="6466E9F2" w14:textId="77777777" w:rsidR="00756E1A" w:rsidRPr="00AF4CC9" w:rsidRDefault="00756E1A" w:rsidP="00AF4CC9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5B2B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3</w:t>
      </w:r>
      <w:r w:rsidRPr="00AF4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A57E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Регіональний Офіс Конгресу</w:t>
      </w:r>
      <w:r w:rsidR="00A57E0C"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F4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покладених на н</w:t>
      </w:r>
      <w:r w:rsidR="00A57E0C" w:rsidRPr="00AF4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ього</w:t>
      </w:r>
      <w:r w:rsidRPr="00AF4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завдань:</w:t>
      </w:r>
    </w:p>
    <w:p w14:paraId="5B29CE37" w14:textId="77777777" w:rsidR="00954895" w:rsidRDefault="00954895" w:rsidP="00AF4CC9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здійснює 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представництво інтересів органів місцевих влад, зміцнення і захист інтересів органів місцевих влад;</w:t>
      </w:r>
    </w:p>
    <w:p w14:paraId="6DD903FF" w14:textId="77777777" w:rsidR="00954895" w:rsidRPr="003923B6" w:rsidRDefault="00954895" w:rsidP="00AF4CC9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n13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проводить 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вивчення та моніторинг суспільно-політичних і соціально-економічних процесів, що відбуваються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місцевому рівн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вироблення за результатами узгодженої позиції щодо пріоритетів державної регіональної політики і механізмів забезпечення сталого розвитку територіальних громад</w:t>
      </w:r>
      <w:r w:rsidR="00D80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області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397B3CAE" w14:textId="77777777" w:rsidR="00954895" w:rsidRPr="003923B6" w:rsidRDefault="00954895" w:rsidP="00AF4CC9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n14"/>
      <w:bookmarkEnd w:id="1"/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сприя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налагодженню ефективної взаємодії державних органів, зокрема місцевих органів виконавчої влади, з органами місцевого самоврядування;</w:t>
      </w:r>
    </w:p>
    <w:p w14:paraId="47D3C08B" w14:textId="77777777" w:rsidR="00954895" w:rsidRPr="003923B6" w:rsidRDefault="00954895" w:rsidP="00AF4CC9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" w:name="n15"/>
      <w:bookmarkEnd w:id="2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здійснює 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моніторинг стану розвитку територіальних громад, проведення консультацій стосовно актуальних питань забезпечення збалансованого соціально-економічного розвитку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 в області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підвищення їх інвестиційної привабливості та конкурентоспроможності;</w:t>
      </w:r>
    </w:p>
    <w:p w14:paraId="218E6C77" w14:textId="77777777" w:rsidR="00954895" w:rsidRPr="003923B6" w:rsidRDefault="00954895" w:rsidP="00AF4CC9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" w:name="n16"/>
      <w:bookmarkEnd w:id="3"/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сприя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ефективному завершенню</w:t>
      </w:r>
      <w:r w:rsidR="00D80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області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реформи місцевого самоврядування, територіальної організації влади та адміністративно-територіального устрою, інших реформ із децентралізації влади;</w:t>
      </w:r>
    </w:p>
    <w:p w14:paraId="6FE3CE25" w14:textId="77777777" w:rsidR="00954895" w:rsidRPr="003923B6" w:rsidRDefault="00954895" w:rsidP="00AF4CC9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" w:name="n17"/>
      <w:bookmarkEnd w:id="4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здійснює обговорення проє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ктів нормативно-правових актів у с</w:t>
      </w:r>
      <w:r w:rsidR="00332F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фері регіональної політики, проє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ктів державних програм і стратегій регіонального, економічного, екологічного, науково-технічного, соціального, національно-культурного розвитку з метою врахування у таких про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ктах інтересів територіальних громад;</w:t>
      </w:r>
    </w:p>
    <w:p w14:paraId="11685522" w14:textId="77777777" w:rsidR="00954895" w:rsidRPr="003923B6" w:rsidRDefault="00954895" w:rsidP="00AF4CC9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" w:name="n18"/>
      <w:bookmarkEnd w:id="5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проводить 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вивчення та узагальнення міжнародного досвіду у сфері територіального розвитку, розвитку місцевого самоврядування та здійснення</w:t>
      </w:r>
      <w:r w:rsidRPr="009548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заходів щодо його практичної реалізації, зокрема з урахуванням стандартів </w:t>
      </w:r>
      <w:hyperlink r:id="rId8" w:tgtFrame="_blank" w:history="1">
        <w:r w:rsidRPr="00954895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Європейської хартії місцевого самоврядування</w:t>
        </w:r>
      </w:hyperlink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6A96BE35" w14:textId="77777777" w:rsidR="00954895" w:rsidRPr="003923B6" w:rsidRDefault="00954895" w:rsidP="00AF4CC9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6" w:name="n19"/>
      <w:bookmarkEnd w:id="6"/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аналіз</w:t>
      </w:r>
      <w:r w:rsidR="007301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ує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законо</w:t>
      </w:r>
      <w:r w:rsidR="007301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давство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з питань регіонального розвитку, місцевого самоврядування та територіальної організації влади, </w:t>
      </w:r>
      <w:r w:rsidR="007301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готує 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пропозиці</w:t>
      </w:r>
      <w:r w:rsidR="007301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його вдосконалення;</w:t>
      </w:r>
    </w:p>
    <w:p w14:paraId="340BF4AF" w14:textId="77777777" w:rsidR="00954895" w:rsidRPr="003923B6" w:rsidRDefault="00730192" w:rsidP="00AF4CC9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" w:name="n20"/>
      <w:bookmarkStart w:id="8" w:name="n21"/>
      <w:bookmarkEnd w:id="7"/>
      <w:bookmarkEnd w:id="8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сприяє проведенню</w:t>
      </w:r>
      <w:r w:rsidR="00954895"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консультацій щодо поглиблення співробітництва між Україною</w:t>
      </w:r>
      <w:r w:rsidR="003025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зокрема Волинською областю,</w:t>
      </w:r>
      <w:r w:rsidR="00954895"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Європейським Союзо</w:t>
      </w:r>
      <w:r w:rsidR="003025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м, у тому числі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через реалізацію проє</w:t>
      </w:r>
      <w:r w:rsidR="00954895"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ктів транскордонного співробітництва.</w:t>
      </w:r>
    </w:p>
    <w:p w14:paraId="49B6B9F6" w14:textId="77777777" w:rsidR="00756E1A" w:rsidRPr="00AF4CC9" w:rsidRDefault="00756E1A" w:rsidP="00AF4CC9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5B2B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4. </w:t>
      </w:r>
      <w:r w:rsidR="00A272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Регіональний Офіс Конгресу</w:t>
      </w:r>
      <w:r w:rsidRPr="00AF4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має право:</w:t>
      </w:r>
    </w:p>
    <w:p w14:paraId="0208EAC9" w14:textId="77777777" w:rsidR="00A27200" w:rsidRPr="003923B6" w:rsidRDefault="00A27200" w:rsidP="00AF4CC9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запитувати та одержувати від державних органів, органів місцевого сам</w:t>
      </w:r>
      <w:r w:rsidR="00F67D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оврядування та їх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асоціацій, громадських об'єднань, підприємств, установ, організацій необхідні інформацію, документи і матеріали;</w:t>
      </w:r>
    </w:p>
    <w:p w14:paraId="2B23E162" w14:textId="77777777" w:rsidR="008548DB" w:rsidRPr="00AF4CC9" w:rsidRDefault="00A27200" w:rsidP="00AF4CC9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9" w:name="n26"/>
      <w:bookmarkEnd w:id="9"/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створювати тимчасові</w:t>
      </w:r>
      <w:r w:rsidR="000A7D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експертні та</w:t>
      </w:r>
      <w:r w:rsidR="008548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робочі групи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розроблення та детального опрацювання окремих питань, що належать до компетенції</w:t>
      </w:r>
      <w:r w:rsidR="009455EF" w:rsidRPr="009455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455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Регіонального Офісу Конгресу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визначати порядок їх роботи, залучати до роботи в таких групах експертів і фахівців (за погодженням),</w:t>
      </w:r>
      <w:r w:rsidR="008548DB" w:rsidRPr="00AF4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представників обл</w:t>
      </w:r>
      <w:r w:rsidR="00AF4CC9" w:rsidRPr="00AF4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асної </w:t>
      </w:r>
      <w:r w:rsidR="008548DB" w:rsidRPr="00AF4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</w:t>
      </w:r>
      <w:r w:rsidR="00AF4CC9" w:rsidRPr="00AF4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авної </w:t>
      </w:r>
      <w:r w:rsidR="008548DB" w:rsidRPr="00AF4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адміністрації, рай</w:t>
      </w:r>
      <w:r w:rsidR="00AF4CC9" w:rsidRPr="00AF4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онних </w:t>
      </w:r>
      <w:r w:rsidR="008548DB" w:rsidRPr="00AF4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</w:t>
      </w:r>
      <w:r w:rsidR="00AF4CC9" w:rsidRPr="00AF4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авних </w:t>
      </w:r>
      <w:r w:rsidR="008548DB" w:rsidRPr="00AF4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адміністрацій, виконавчих органів місцевих рад територіальних громад, територіальних органів міністерств та інших центральних органів виконавчої влади, наукових установ та громадських організацій (за погодженням);</w:t>
      </w:r>
    </w:p>
    <w:p w14:paraId="1A8A4792" w14:textId="77777777" w:rsidR="00A27200" w:rsidRPr="003923B6" w:rsidRDefault="00A27200" w:rsidP="00AF4CC9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координувати та коригувати роботу створених тимчасових робочих груп, заслуховувати їх звіти;</w:t>
      </w:r>
    </w:p>
    <w:p w14:paraId="45E863C9" w14:textId="77777777" w:rsidR="00A27200" w:rsidRPr="003923B6" w:rsidRDefault="00A27200" w:rsidP="00AF4CC9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" w:name="n27"/>
      <w:bookmarkEnd w:id="10"/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запрошувати на свої засідання керівників і представників державних органів, органів місцевого сам</w:t>
      </w:r>
      <w:r w:rsidR="00F67D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оврядування та їх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асоціацій, громадських об'єднань, пі</w:t>
      </w:r>
      <w:r w:rsidR="00327C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дприємств, установ, організацій, тощо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7F48F540" w14:textId="77777777" w:rsidR="00A27200" w:rsidRPr="003923B6" w:rsidRDefault="00A27200" w:rsidP="00AF4CC9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1" w:name="n28"/>
      <w:bookmarkEnd w:id="11"/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залучати до розгляду пита</w:t>
      </w:r>
      <w:r w:rsidR="00DF13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нь, що належать до компетенції Регіонального Офісу Конгресу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працівників органів виконавчої влади, підприємств, установ та організацій (за погодженням з їх керівниками), а також незалежних експертів (за їх згодою);</w:t>
      </w:r>
    </w:p>
    <w:p w14:paraId="2CF59349" w14:textId="77777777" w:rsidR="00A27200" w:rsidRPr="003923B6" w:rsidRDefault="00A27200" w:rsidP="00AF4CC9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2" w:name="n29"/>
      <w:bookmarkEnd w:id="12"/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організовувати та проводити конференції, круглі столи, наради з питань, що належать до компетенції </w:t>
      </w:r>
      <w:r w:rsidR="00DF13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Регіонального Офісу Конгресу.</w:t>
      </w:r>
    </w:p>
    <w:p w14:paraId="642014E2" w14:textId="77777777" w:rsidR="00E73C1F" w:rsidRPr="003923B6" w:rsidRDefault="00206C4D" w:rsidP="00AF4CC9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Регіональний Офіс Конгресу</w:t>
      </w:r>
      <w:r w:rsidRPr="00BC5B2B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="00E73C1F"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процесі виконання покладених на нього завдань взаємодіє з іншими консультативними, дорадчими та іншими допоміжними органами і службами, а також з державними органами, органами місцевого са</w:t>
      </w:r>
      <w:r w:rsidR="00327C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моврядування, їх</w:t>
      </w:r>
      <w:r w:rsidR="00E73C1F"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асоціаціями та міжнародними організаціями.</w:t>
      </w:r>
    </w:p>
    <w:p w14:paraId="3DCE193D" w14:textId="131F1032" w:rsidR="00327C54" w:rsidRPr="003923B6" w:rsidRDefault="00327C54" w:rsidP="00AF4CC9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6</w:t>
      </w:r>
      <w:r w:rsidRPr="00BC5B2B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Регіональний Офіс Конгресу</w:t>
      </w:r>
      <w:r w:rsidRPr="00BC5B2B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утворюється у складі Голови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Регіонального Офісу Конгресу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bookmarkStart w:id="13" w:name="n32"/>
      <w:bookmarkEnd w:id="13"/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Президії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Регіонального Офісу Конгресу,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членів Регіонального Офісу Конгресу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26AB0BA8" w14:textId="77777777" w:rsidR="00D315E6" w:rsidRDefault="00D315E6" w:rsidP="00AF4CC9">
      <w:pPr>
        <w:spacing w:after="150" w:line="240" w:lineRule="auto"/>
        <w:ind w:firstLine="567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bookmarkStart w:id="14" w:name="n33"/>
      <w:bookmarkEnd w:id="14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Голова Регіонального Офісу Конгресу</w:t>
      </w:r>
      <w:r w:rsidRPr="00BC5B2B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здійснює загальне керівництво діяльністю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Регіонального Офісу Конгресу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визначає порядок його роботи та головує на засіданнях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Регіонального Офісу Конгресу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.</w:t>
      </w:r>
    </w:p>
    <w:p w14:paraId="0AEB0559" w14:textId="77777777" w:rsidR="003731A1" w:rsidRPr="003923B6" w:rsidRDefault="00327C54" w:rsidP="00AF4CC9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Президія та ч</w:t>
      </w:r>
      <w:r w:rsidR="003731A1"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лени </w:t>
      </w:r>
      <w:r w:rsidR="003731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Регіонального Офісу Конгресу</w:t>
      </w:r>
      <w:r w:rsidR="003731A1" w:rsidRPr="00BC5B2B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="003731A1"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беруть участь у його роботі на громадських засадах.</w:t>
      </w:r>
    </w:p>
    <w:p w14:paraId="7538EE96" w14:textId="77777777" w:rsidR="00857723" w:rsidRPr="00B02569" w:rsidRDefault="00857723" w:rsidP="00B02569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7. </w:t>
      </w:r>
      <w:r w:rsidRPr="00B025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складу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Регіонального Офісу Конгресу</w:t>
      </w:r>
      <w:r w:rsidRPr="00B025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можуть входити представники обласної державної адміністрації, обласної ради, районн</w:t>
      </w:r>
      <w:r w:rsidR="00024672" w:rsidRPr="00B025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</w:t>
      </w:r>
      <w:r w:rsidRPr="00B025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державн</w:t>
      </w:r>
      <w:r w:rsidR="00024672" w:rsidRPr="00B025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</w:t>
      </w:r>
      <w:r w:rsidRPr="00B025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адміністраці</w:t>
      </w:r>
      <w:r w:rsidR="00024672" w:rsidRPr="00B025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</w:t>
      </w:r>
      <w:r w:rsidRPr="00B025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рай</w:t>
      </w:r>
      <w:r w:rsidR="00024672" w:rsidRPr="00B025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онних</w:t>
      </w:r>
      <w:r w:rsidRPr="00B025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рад, територіальних громад області. </w:t>
      </w:r>
    </w:p>
    <w:p w14:paraId="2425E6BB" w14:textId="77777777" w:rsidR="00857723" w:rsidRPr="00B02569" w:rsidRDefault="00857723" w:rsidP="00B02569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25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Склад</w:t>
      </w:r>
      <w:r w:rsidR="002D36E9" w:rsidRPr="00B025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D36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Регіонального Офісу Конгресу</w:t>
      </w:r>
      <w:r w:rsidRPr="00B025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затверджує голова обласної державної адміністрації.</w:t>
      </w:r>
    </w:p>
    <w:p w14:paraId="5D115FAF" w14:textId="77777777" w:rsidR="00857723" w:rsidRPr="00A4267B" w:rsidRDefault="002D36E9" w:rsidP="00AF4CC9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8</w:t>
      </w:r>
      <w:r w:rsidR="0085772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.</w:t>
      </w:r>
      <w:r w:rsidR="00857723" w:rsidRPr="008577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57723"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Основною організаційною формою роботи </w:t>
      </w:r>
      <w:r w:rsidR="008577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Регіонального Офісу Конгресу</w:t>
      </w:r>
      <w:r w:rsidR="00857723"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засідання, </w:t>
      </w:r>
      <w:r w:rsidR="00327C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 проводяться у разі потреби.</w:t>
      </w:r>
    </w:p>
    <w:p w14:paraId="7E90AEE9" w14:textId="77777777" w:rsidR="00F6107A" w:rsidRPr="003923B6" w:rsidRDefault="00F6107A" w:rsidP="00AF4CC9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Регіонального Офісу Конгресу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правомочним, якщо на ньому присутні не менше половини від складу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Регіонального Офісу Конгресу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F9327E5" w14:textId="77777777" w:rsidR="00F6107A" w:rsidRPr="003923B6" w:rsidRDefault="00F6107A" w:rsidP="00AF4CC9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5" w:name="n39"/>
      <w:bookmarkEnd w:id="15"/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</w:t>
      </w:r>
      <w:r w:rsidR="009E00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Регіонального Офісу Конгресу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приймаються </w:t>
      </w:r>
      <w:r w:rsidR="002317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Президією та 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більшістю голосів присутніх на засіданні членів </w:t>
      </w:r>
      <w:r w:rsidR="009E00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Регіонального Офісу Конгресу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У разі рівного розподілу голосів голос Голови </w:t>
      </w:r>
      <w:r w:rsidR="009E00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Регіонального Офісу Конгресу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вирішальним.</w:t>
      </w:r>
    </w:p>
    <w:p w14:paraId="1B6E2A6D" w14:textId="77777777" w:rsidR="00F6107A" w:rsidRPr="003923B6" w:rsidRDefault="00F6107A" w:rsidP="00AF4CC9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6" w:name="n40"/>
      <w:bookmarkEnd w:id="16"/>
      <w:r w:rsidRPr="00327C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результатами засідання оформлюється протокол, який підписується головою </w:t>
      </w:r>
      <w:r w:rsidR="009E0014" w:rsidRPr="00327C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Регіонального Офісу Конгресу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C5E4DD8" w14:textId="77777777" w:rsidR="00F6107A" w:rsidRPr="003923B6" w:rsidRDefault="00F6107A" w:rsidP="00AF4CC9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7" w:name="n41"/>
      <w:bookmarkEnd w:id="17"/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</w:t>
      </w:r>
      <w:r w:rsidR="00B41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Регіонального Офісу Конгресу</w:t>
      </w:r>
      <w:r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можуть надсилатися для розгляду місцевим органам виконавчої влади, органам місцевого самоврядування.</w:t>
      </w:r>
    </w:p>
    <w:p w14:paraId="78DD44C9" w14:textId="77777777" w:rsidR="00402CF8" w:rsidRPr="003923B6" w:rsidRDefault="00402CF8" w:rsidP="00AF4CC9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9. </w:t>
      </w:r>
      <w:r w:rsidR="002317F8"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складу Президії </w:t>
      </w:r>
      <w:r w:rsidR="002317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Регіонального Офісу Конгресу</w:t>
      </w:r>
      <w:r w:rsidR="002317F8" w:rsidRPr="00392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входять </w:t>
      </w:r>
      <w:r w:rsidR="002317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перший заступник голови обласної державної адміністрації, заступники  голови обласної державної адміністрації, голова обласної ради, делегат України в Конгресі місцевих і регіональних влад Ради Європи на 2021</w:t>
      </w:r>
      <w:r w:rsidR="00B025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2317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2026 роки, представник Всеукраїнської асоціації сільських та селищних рад</w:t>
      </w:r>
      <w:r w:rsidR="00BA2F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Волинській області</w:t>
      </w:r>
      <w:r w:rsidR="002317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5BA4D3D2" w14:textId="2C25DB2A" w:rsidR="00EE61D4" w:rsidRPr="00C6567C" w:rsidRDefault="00756E1A" w:rsidP="00C6567C">
      <w:pPr>
        <w:jc w:val="center"/>
        <w:rPr>
          <w:lang w:val="ru-RU"/>
        </w:rPr>
      </w:pPr>
      <w:bookmarkStart w:id="18" w:name="n50"/>
      <w:bookmarkEnd w:id="18"/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___________________________________</w:t>
      </w:r>
    </w:p>
    <w:sectPr w:rsidR="00EE61D4" w:rsidRPr="00C6567C" w:rsidSect="00AF4CC9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40DDE" w14:textId="77777777" w:rsidR="00B1452E" w:rsidRDefault="00B1452E" w:rsidP="00AF4CC9">
      <w:pPr>
        <w:spacing w:after="0" w:line="240" w:lineRule="auto"/>
      </w:pPr>
      <w:r>
        <w:separator/>
      </w:r>
    </w:p>
  </w:endnote>
  <w:endnote w:type="continuationSeparator" w:id="0">
    <w:p w14:paraId="7629DDD3" w14:textId="77777777" w:rsidR="00B1452E" w:rsidRDefault="00B1452E" w:rsidP="00AF4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0F88C" w14:textId="77777777" w:rsidR="00B1452E" w:rsidRDefault="00B1452E" w:rsidP="00AF4CC9">
      <w:pPr>
        <w:spacing w:after="0" w:line="240" w:lineRule="auto"/>
      </w:pPr>
      <w:r>
        <w:separator/>
      </w:r>
    </w:p>
  </w:footnote>
  <w:footnote w:type="continuationSeparator" w:id="0">
    <w:p w14:paraId="6CF3787E" w14:textId="77777777" w:rsidR="00B1452E" w:rsidRDefault="00B1452E" w:rsidP="00AF4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8537976"/>
      <w:docPartObj>
        <w:docPartGallery w:val="Page Numbers (Top of Page)"/>
        <w:docPartUnique/>
      </w:docPartObj>
    </w:sdtPr>
    <w:sdtContent>
      <w:p w14:paraId="3171991C" w14:textId="77777777" w:rsidR="00AF4CC9" w:rsidRDefault="00AF4CC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569" w:rsidRPr="00B02569">
          <w:rPr>
            <w:noProof/>
            <w:lang w:val="uk-UA"/>
          </w:rPr>
          <w:t>3</w:t>
        </w:r>
        <w:r>
          <w:fldChar w:fldCharType="end"/>
        </w:r>
      </w:p>
    </w:sdtContent>
  </w:sdt>
  <w:p w14:paraId="6E0B9CBD" w14:textId="77777777" w:rsidR="00AF4CC9" w:rsidRDefault="00AF4C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5F4B"/>
    <w:rsid w:val="00024672"/>
    <w:rsid w:val="000A7D5C"/>
    <w:rsid w:val="000D51F7"/>
    <w:rsid w:val="000E5F4B"/>
    <w:rsid w:val="0017095D"/>
    <w:rsid w:val="001B0EE5"/>
    <w:rsid w:val="001C0458"/>
    <w:rsid w:val="001E6CCE"/>
    <w:rsid w:val="00206C4D"/>
    <w:rsid w:val="002317F8"/>
    <w:rsid w:val="00232DFC"/>
    <w:rsid w:val="002D36E9"/>
    <w:rsid w:val="0030255E"/>
    <w:rsid w:val="00303538"/>
    <w:rsid w:val="00327C54"/>
    <w:rsid w:val="00332FBD"/>
    <w:rsid w:val="003731A1"/>
    <w:rsid w:val="00392928"/>
    <w:rsid w:val="00402CF8"/>
    <w:rsid w:val="00403D8D"/>
    <w:rsid w:val="00441591"/>
    <w:rsid w:val="005453F5"/>
    <w:rsid w:val="005969BF"/>
    <w:rsid w:val="005F7E36"/>
    <w:rsid w:val="006A20E8"/>
    <w:rsid w:val="006F0B7E"/>
    <w:rsid w:val="0070004C"/>
    <w:rsid w:val="00703C82"/>
    <w:rsid w:val="00730192"/>
    <w:rsid w:val="00756E1A"/>
    <w:rsid w:val="008548DB"/>
    <w:rsid w:val="00857723"/>
    <w:rsid w:val="008E101D"/>
    <w:rsid w:val="009317A0"/>
    <w:rsid w:val="009455EF"/>
    <w:rsid w:val="00954895"/>
    <w:rsid w:val="009E0014"/>
    <w:rsid w:val="00A009C3"/>
    <w:rsid w:val="00A27200"/>
    <w:rsid w:val="00A4267B"/>
    <w:rsid w:val="00A57E0C"/>
    <w:rsid w:val="00A6671E"/>
    <w:rsid w:val="00AA17A6"/>
    <w:rsid w:val="00AF4CC9"/>
    <w:rsid w:val="00B02569"/>
    <w:rsid w:val="00B1452E"/>
    <w:rsid w:val="00B4185B"/>
    <w:rsid w:val="00B61C9B"/>
    <w:rsid w:val="00BA2FBA"/>
    <w:rsid w:val="00BC515B"/>
    <w:rsid w:val="00C6567C"/>
    <w:rsid w:val="00CC6AB8"/>
    <w:rsid w:val="00D315E6"/>
    <w:rsid w:val="00D80616"/>
    <w:rsid w:val="00D80964"/>
    <w:rsid w:val="00D81666"/>
    <w:rsid w:val="00DF13D8"/>
    <w:rsid w:val="00E5076F"/>
    <w:rsid w:val="00E73C1F"/>
    <w:rsid w:val="00ED7010"/>
    <w:rsid w:val="00EE61D4"/>
    <w:rsid w:val="00F11661"/>
    <w:rsid w:val="00F56FE6"/>
    <w:rsid w:val="00F6107A"/>
    <w:rsid w:val="00F67D45"/>
    <w:rsid w:val="00F8502A"/>
    <w:rsid w:val="00F9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16D02"/>
  <w15:docId w15:val="{91706FEA-2145-4E27-AA97-33FABD794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6E1A"/>
    <w:rPr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56E1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56E1A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a3">
    <w:name w:val="header"/>
    <w:basedOn w:val="a"/>
    <w:link w:val="a4"/>
    <w:uiPriority w:val="99"/>
    <w:unhideWhenUsed/>
    <w:rsid w:val="00AF4C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F4CC9"/>
    <w:rPr>
      <w:lang w:val="en-US"/>
    </w:rPr>
  </w:style>
  <w:style w:type="paragraph" w:styleId="a5">
    <w:name w:val="footer"/>
    <w:basedOn w:val="a"/>
    <w:link w:val="a6"/>
    <w:uiPriority w:val="99"/>
    <w:unhideWhenUsed/>
    <w:rsid w:val="00AF4C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AF4CC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994_03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54%D0%BA/96-%D0%B2%D1%8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E9DEA-3087-4C08-984C-EF0BB2DE1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4060</Words>
  <Characters>2315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52</cp:revision>
  <cp:lastPrinted>2023-10-17T12:14:00Z</cp:lastPrinted>
  <dcterms:created xsi:type="dcterms:W3CDTF">2023-10-16T12:42:00Z</dcterms:created>
  <dcterms:modified xsi:type="dcterms:W3CDTF">2023-10-19T14:06:00Z</dcterms:modified>
</cp:coreProperties>
</file>