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BB53" w14:textId="77777777" w:rsidR="00E37F83" w:rsidRPr="00E37F83" w:rsidRDefault="00E37F83" w:rsidP="000D6893">
      <w:pPr>
        <w:tabs>
          <w:tab w:val="left" w:pos="3544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9D7839A" wp14:editId="0BE0A9E1">
            <wp:extent cx="4762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8323F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5FC8597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F83">
        <w:rPr>
          <w:rFonts w:ascii="Times New Roman" w:eastAsia="Times New Roman" w:hAnsi="Times New Roman" w:cs="Times New Roman"/>
          <w:b/>
          <w:sz w:val="24"/>
          <w:szCs w:val="24"/>
        </w:rPr>
        <w:t>ВОЛИНСЬКА ОБЛАСНА ДЕРЖАВНА АДМІНІСТРАЦІЯ</w:t>
      </w:r>
    </w:p>
    <w:p w14:paraId="439D9825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0FE29651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7F83">
        <w:rPr>
          <w:rFonts w:ascii="Times New Roman" w:eastAsia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02AD50DC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03BA93" w14:textId="77777777" w:rsidR="00E37F83" w:rsidRPr="00E37F83" w:rsidRDefault="00C1149F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РОЗПОРЯДЖЕННЯ</w:t>
      </w:r>
      <w:r w:rsidR="00E37F83" w:rsidRPr="00E37F83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14:paraId="00196B28" w14:textId="77777777" w:rsidR="006B52CA" w:rsidRPr="00C1149F" w:rsidRDefault="006B52CA" w:rsidP="006B5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30882A" w14:textId="012EB4CD" w:rsidR="00E37F83" w:rsidRPr="00D03C32" w:rsidRDefault="00D03C32" w:rsidP="006B52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15 </w:t>
      </w:r>
      <w:r w:rsidR="00C1149F">
        <w:rPr>
          <w:rFonts w:ascii="Times New Roman" w:eastAsia="Times New Roman" w:hAnsi="Times New Roman" w:cs="Times New Roman"/>
          <w:sz w:val="28"/>
          <w:szCs w:val="28"/>
          <w:lang w:val="uk-UA"/>
        </w:rPr>
        <w:t>серпня</w:t>
      </w:r>
      <w:r w:rsidR="00781C49" w:rsidRPr="00C114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36EA5" w:rsidRPr="00C1149F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 xml:space="preserve"> року          </w:t>
      </w:r>
      <w:r w:rsidR="00C1149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 xml:space="preserve">м. Луцьк                             </w:t>
      </w:r>
      <w:r w:rsidR="00781C49" w:rsidRPr="00C1149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340</w:t>
      </w:r>
    </w:p>
    <w:p w14:paraId="62E49AA9" w14:textId="77777777" w:rsidR="00E37F83" w:rsidRPr="00C1149F" w:rsidRDefault="00E37F83" w:rsidP="000239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0E1FFB" w14:textId="77777777" w:rsidR="00C1149F" w:rsidRDefault="00C1149F" w:rsidP="00905491">
      <w:pPr>
        <w:autoSpaceDE w:val="0"/>
        <w:autoSpaceDN w:val="0"/>
        <w:spacing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>затвердження проєктної документації</w:t>
      </w: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519A13D" w14:textId="77777777" w:rsidR="00905491" w:rsidRDefault="00905491" w:rsidP="00905491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7E81E5" w14:textId="3176E2A7" w:rsidR="00C1149F" w:rsidRPr="00C1149F" w:rsidRDefault="00C1149F" w:rsidP="00905491">
      <w:pPr>
        <w:autoSpaceDE w:val="0"/>
        <w:autoSpaceDN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ст. 6 Закону України «Про місцеві державні адміністрації», законів України «Про автомобільні дороги», «Про правовий режим воєнного стану», Указу Президента України від 24 лютого 2022 року № 68 «Про утворення військових адміністрацій» та постанови Кабінету Міністрів України від 11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травня 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2011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C57B19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560 «Про порядок затвердження проектів будівництва та проведення їх експертизи» (зі змінами), </w:t>
      </w:r>
      <w:r w:rsidR="009B65C3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раховуючи експертний звіт (позитивний) щодо розгляду про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ктної документації за робочим проєктом  «Капітальний ремонт автомобільної дороги місцевого значення загального користування О 030210 /Т-03-02/ – Мар'янівка – Борочиче – Бужани   км</w:t>
      </w:r>
      <w:r w:rsidR="00472070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4+600</w:t>
      </w:r>
      <w:r w:rsidR="00472070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– км 10+200 Волинської області (коригування)» від 29 червня 2023</w:t>
      </w:r>
      <w:r w:rsidR="008D23E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  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року №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29/304-06/23, виданого ТзОВ «УК ЕКСПЕРТИЗА» (реєстраційний номер </w:t>
      </w:r>
      <w:r w:rsidRPr="00C1149F">
        <w:rPr>
          <w:rFonts w:ascii="Times New Roman" w:eastAsia="Calibri" w:hAnsi="Times New Roman" w:cs="Times New Roman"/>
          <w:sz w:val="28"/>
          <w:szCs w:val="28"/>
        </w:rPr>
        <w:t>EX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01:5884-8290-9090-7889), звернення ДП «Служба місцевих автомобільних доріг у Волинській області» від 08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серпня 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2023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612:</w:t>
      </w:r>
    </w:p>
    <w:p w14:paraId="6149D9DF" w14:textId="4CB85026" w:rsidR="00C1149F" w:rsidRPr="00C1149F" w:rsidRDefault="00C1149F" w:rsidP="00905491">
      <w:pPr>
        <w:autoSpaceDE w:val="0"/>
        <w:autoSpaceDN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Затвердити </w:t>
      </w:r>
      <w:r w:rsidRPr="00C1149F">
        <w:rPr>
          <w:rFonts w:ascii="Times New Roman" w:hAnsi="Times New Roman" w:cs="Times New Roman"/>
          <w:bCs/>
          <w:sz w:val="28"/>
          <w:szCs w:val="28"/>
          <w:lang w:val="uk-UA"/>
        </w:rPr>
        <w:t>проєктну документацію на будівництво за робочим проєктом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«Капітальний ремонт автомобільної дороги місцевого значення загального користування О 030210 /Т-03-02/ – Мар'янівка – Борочиче – Бужани </w:t>
      </w:r>
      <w:r w:rsidR="004720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км</w:t>
      </w:r>
      <w:r w:rsidR="00472070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4+600</w:t>
      </w:r>
      <w:r w:rsidR="00472070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472070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км 10+200 Волинської області (коригування)» з показниками </w:t>
      </w:r>
      <w:r w:rsidR="002C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додатк</w:t>
      </w:r>
      <w:r w:rsidR="00EF6AFD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69383C3E" w14:textId="06E4264F" w:rsidR="00C1149F" w:rsidRPr="00905491" w:rsidRDefault="00C1149F" w:rsidP="00905491">
      <w:pPr>
        <w:autoSpaceDE w:val="0"/>
        <w:autoSpaceDN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149F">
        <w:rPr>
          <w:rFonts w:ascii="Times New Roman" w:eastAsia="Calibri" w:hAnsi="Times New Roman" w:cs="Times New Roman"/>
          <w:sz w:val="28"/>
          <w:szCs w:val="28"/>
        </w:rPr>
        <w:t>2.</w:t>
      </w:r>
      <w:r w:rsidR="00543DDF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виконанням розпорядження покласти на першого заступника голови облдержадміністрації </w:t>
      </w:r>
      <w:r w:rsidR="0056067F">
        <w:rPr>
          <w:rFonts w:ascii="Times New Roman" w:eastAsia="Calibri" w:hAnsi="Times New Roman" w:cs="Times New Roman"/>
          <w:sz w:val="28"/>
          <w:szCs w:val="28"/>
          <w:lang w:val="uk-UA"/>
        </w:rPr>
        <w:t>Ім’я Прізвище</w:t>
      </w:r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2D6BF682" w14:textId="77777777" w:rsidR="00C1149F" w:rsidRPr="00C1149F" w:rsidRDefault="00C1149F" w:rsidP="00C1149F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DCA6DB" w14:textId="77777777" w:rsidR="00C1149F" w:rsidRPr="00C1149F" w:rsidRDefault="00C1149F" w:rsidP="00C1149F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C1149F">
        <w:rPr>
          <w:rFonts w:ascii="Times New Roman" w:eastAsia="Calibri" w:hAnsi="Times New Roman" w:cs="Times New Roman"/>
          <w:b/>
          <w:sz w:val="28"/>
          <w:szCs w:val="28"/>
        </w:rPr>
        <w:t>Юрій ПОГУЛЯЙКО</w:t>
      </w:r>
    </w:p>
    <w:p w14:paraId="28F9D9EE" w14:textId="77777777" w:rsidR="00C1149F" w:rsidRPr="00C1149F" w:rsidRDefault="00C1149F" w:rsidP="00C1149F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2A460C" w14:textId="1CA35447" w:rsidR="00C1149F" w:rsidRPr="00753EBA" w:rsidRDefault="00753EBA" w:rsidP="00C1149F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Степан Білан 778 112</w:t>
      </w:r>
    </w:p>
    <w:p w14:paraId="34CDF1E2" w14:textId="77777777" w:rsidR="00C1149F" w:rsidRPr="00C1149F" w:rsidRDefault="00C1149F" w:rsidP="00C1149F">
      <w:pPr>
        <w:autoSpaceDE w:val="0"/>
        <w:autoSpaceDN w:val="0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36B0F146" w14:textId="77777777" w:rsidR="00905491" w:rsidRDefault="00905491" w:rsidP="00C1149F">
      <w:pPr>
        <w:spacing w:after="0" w:line="240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9A6D023" w14:textId="77777777" w:rsidR="00905491" w:rsidRDefault="00905491" w:rsidP="00C1149F">
      <w:pPr>
        <w:spacing w:after="0" w:line="240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A48DE67" w14:textId="77777777" w:rsidR="002D0241" w:rsidRDefault="002D0241" w:rsidP="00C1149F">
      <w:pPr>
        <w:spacing w:after="0" w:line="240" w:lineRule="auto"/>
        <w:ind w:left="5529" w:right="-28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BC5356E" w14:textId="4B02822D" w:rsidR="00C1149F" w:rsidRPr="002D0241" w:rsidRDefault="00C1149F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Додаток</w:t>
      </w:r>
    </w:p>
    <w:p w14:paraId="379F9DFE" w14:textId="77777777" w:rsidR="00C1149F" w:rsidRPr="002D0241" w:rsidRDefault="00C1149F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 розпорядження начальника</w:t>
      </w:r>
    </w:p>
    <w:p w14:paraId="017CFBBC" w14:textId="77777777" w:rsidR="00C1149F" w:rsidRPr="002D0241" w:rsidRDefault="00C1149F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обласної військової адміністрації</w:t>
      </w:r>
    </w:p>
    <w:p w14:paraId="32D20256" w14:textId="77777777" w:rsidR="00C1149F" w:rsidRPr="002D0241" w:rsidRDefault="00C1149F" w:rsidP="002D0241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/>
        </w:rPr>
        <w:t>«Про затвердження проєктної документації»</w:t>
      </w:r>
    </w:p>
    <w:p w14:paraId="3DB06912" w14:textId="77777777" w:rsidR="00C1149F" w:rsidRPr="002D0241" w:rsidRDefault="00C1149F" w:rsidP="00C1149F">
      <w:pPr>
        <w:spacing w:line="360" w:lineRule="auto"/>
        <w:ind w:left="4956" w:firstLine="708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33BBB5FD" w14:textId="2BA1D9BE" w:rsidR="00C1149F" w:rsidRPr="002D0241" w:rsidRDefault="00C1149F" w:rsidP="002D024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</w:t>
      </w:r>
      <w:r w:rsidR="00A55B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ОКАЗНИКИ</w:t>
      </w:r>
    </w:p>
    <w:p w14:paraId="3DB9E818" w14:textId="77777777" w:rsidR="00A55B45" w:rsidRDefault="00C1149F" w:rsidP="002D024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 робочим проєктом </w:t>
      </w:r>
      <w:r w:rsidRPr="002D0241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«Капітальний ремонт автомобільної дороги </w:t>
      </w:r>
    </w:p>
    <w:p w14:paraId="2D4A3406" w14:textId="77777777" w:rsidR="00A55B45" w:rsidRDefault="00C1149F" w:rsidP="002D024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2D0241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місцевого значення загального користування </w:t>
      </w:r>
    </w:p>
    <w:p w14:paraId="43416FFF" w14:textId="50955E4A" w:rsidR="00C1149F" w:rsidRDefault="00C1149F" w:rsidP="002D024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2D0241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О 030210 /Т-03-02/ – Мар'янівка – Борочиче – Бужани км 4+600 – км 10+200 Волинської області (коригування)»</w:t>
      </w:r>
    </w:p>
    <w:p w14:paraId="63EDB63E" w14:textId="77777777" w:rsidR="002D0241" w:rsidRPr="002D0241" w:rsidRDefault="002D0241" w:rsidP="002D024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</w:pP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6"/>
        <w:gridCol w:w="1870"/>
        <w:gridCol w:w="2268"/>
      </w:tblGrid>
      <w:tr w:rsidR="00C1149F" w:rsidRPr="002D0241" w14:paraId="3131E650" w14:textId="77777777" w:rsidTr="002D4859">
        <w:trPr>
          <w:trHeight w:val="811"/>
        </w:trPr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724F3F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Показники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56F3E8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Одиниця вимірювання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D80B2F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Вартість</w:t>
            </w:r>
          </w:p>
        </w:tc>
      </w:tr>
      <w:tr w:rsidR="00C1149F" w:rsidRPr="002D0241" w14:paraId="60CD6407" w14:textId="77777777" w:rsidTr="005074D0">
        <w:trPr>
          <w:trHeight w:val="4015"/>
        </w:trPr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D8650B" w14:textId="35A0CFA8" w:rsidR="002D4859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Загальна кошторисна вартість будівництва </w:t>
            </w:r>
            <w:r w:rsidR="002D4859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</w:t>
            </w: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поточних цінах станом на «5» червня 2023 р. складає всього:</w:t>
            </w:r>
          </w:p>
          <w:p w14:paraId="625D558A" w14:textId="6B9BDF74" w:rsidR="00C1149F" w:rsidRPr="002D0241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 тому числі:</w:t>
            </w:r>
          </w:p>
          <w:p w14:paraId="31A77E1A" w14:textId="77777777" w:rsidR="00C1149F" w:rsidRPr="002D0241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 будівельні роботи </w:t>
            </w:r>
          </w:p>
          <w:p w14:paraId="019D85AA" w14:textId="77777777" w:rsidR="00C1149F" w:rsidRPr="002D0241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 устаткування</w:t>
            </w:r>
          </w:p>
          <w:p w14:paraId="1B311F67" w14:textId="77777777" w:rsidR="002D4859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 інші витрати</w:t>
            </w:r>
          </w:p>
          <w:p w14:paraId="131D728C" w14:textId="1B1F4F47" w:rsidR="00C1149F" w:rsidRPr="002D0241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 них понесені витрати згідно з довідкою складають:</w:t>
            </w:r>
          </w:p>
          <w:p w14:paraId="6BC029A4" w14:textId="77777777" w:rsidR="00C1149F" w:rsidRPr="002D0241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 тому числі:</w:t>
            </w:r>
          </w:p>
          <w:p w14:paraId="460A7A8B" w14:textId="77777777" w:rsidR="00C1149F" w:rsidRPr="002D0241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 будівельні роботи </w:t>
            </w:r>
          </w:p>
          <w:p w14:paraId="1B0BEF67" w14:textId="77777777" w:rsidR="00C1149F" w:rsidRPr="002D0241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 устаткування, меблі, інвентар</w:t>
            </w:r>
          </w:p>
          <w:p w14:paraId="33EC1225" w14:textId="77777777" w:rsidR="00C1149F" w:rsidRPr="002D0241" w:rsidRDefault="00C1149F" w:rsidP="005074D0">
            <w:pP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- інші витрати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80D31D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232F9F75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75050D84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тис. грн</w:t>
            </w:r>
          </w:p>
          <w:p w14:paraId="5DE472C5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2013C61C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-״-</w:t>
            </w:r>
          </w:p>
          <w:p w14:paraId="31A3F225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-״-</w:t>
            </w:r>
          </w:p>
          <w:p w14:paraId="0234FDFC" w14:textId="77777777" w:rsidR="003F7DCE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-״-</w:t>
            </w:r>
          </w:p>
          <w:p w14:paraId="798D4456" w14:textId="4A856136" w:rsidR="00C1149F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-״-</w:t>
            </w:r>
          </w:p>
          <w:p w14:paraId="6A571355" w14:textId="77777777" w:rsidR="003F7DCE" w:rsidRPr="002D0241" w:rsidRDefault="003F7DCE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3B83A1B6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-״-</w:t>
            </w:r>
          </w:p>
          <w:p w14:paraId="43DF905E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-״-</w:t>
            </w:r>
          </w:p>
          <w:p w14:paraId="72B24A66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-״-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051266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399F8F99" w14:textId="07007D5B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180843,101</w:t>
            </w:r>
          </w:p>
          <w:p w14:paraId="3954B16E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14:paraId="0127A26E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141649,782</w:t>
            </w:r>
          </w:p>
          <w:p w14:paraId="688F04CA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  <w:p w14:paraId="51B7A761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39193,319</w:t>
            </w:r>
          </w:p>
          <w:p w14:paraId="0D9D0C0F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5CE44A6E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222,738</w:t>
            </w:r>
          </w:p>
          <w:p w14:paraId="3D083388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  <w:p w14:paraId="7EADAC83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  <w:p w14:paraId="67C02210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</w:t>
            </w:r>
          </w:p>
          <w:p w14:paraId="50E79F0C" w14:textId="77777777" w:rsidR="00C1149F" w:rsidRPr="002D0241" w:rsidRDefault="00C1149F" w:rsidP="005074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2D02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222,738</w:t>
            </w:r>
          </w:p>
        </w:tc>
      </w:tr>
    </w:tbl>
    <w:p w14:paraId="40D94276" w14:textId="77777777" w:rsidR="003E3717" w:rsidRPr="003E3717" w:rsidRDefault="00C1149F" w:rsidP="00C1149F">
      <w:pPr>
        <w:tabs>
          <w:tab w:val="left" w:pos="2115"/>
        </w:tabs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149F">
        <w:rPr>
          <w:rFonts w:ascii="Times New Roman" w:eastAsia="Calibri" w:hAnsi="Times New Roman" w:cs="Times New Roman"/>
          <w:sz w:val="28"/>
          <w:szCs w:val="28"/>
          <w:lang w:eastAsia="uk-UA"/>
        </w:rPr>
        <w:t>____________________________________________</w:t>
      </w:r>
    </w:p>
    <w:sectPr w:rsidR="003E3717" w:rsidRPr="003E3717" w:rsidSect="00E113CD">
      <w:headerReference w:type="default" r:id="rId8"/>
      <w:pgSz w:w="11906" w:h="16838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C550F" w14:textId="77777777" w:rsidR="00563297" w:rsidRDefault="00563297" w:rsidP="000821CE">
      <w:pPr>
        <w:spacing w:after="0" w:line="240" w:lineRule="auto"/>
      </w:pPr>
      <w:r>
        <w:separator/>
      </w:r>
    </w:p>
  </w:endnote>
  <w:endnote w:type="continuationSeparator" w:id="0">
    <w:p w14:paraId="249A7740" w14:textId="77777777" w:rsidR="00563297" w:rsidRDefault="00563297" w:rsidP="00082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84B3C" w14:textId="77777777" w:rsidR="00563297" w:rsidRDefault="00563297" w:rsidP="000821CE">
      <w:pPr>
        <w:spacing w:after="0" w:line="240" w:lineRule="auto"/>
      </w:pPr>
      <w:r>
        <w:separator/>
      </w:r>
    </w:p>
  </w:footnote>
  <w:footnote w:type="continuationSeparator" w:id="0">
    <w:p w14:paraId="20EF73E5" w14:textId="77777777" w:rsidR="00563297" w:rsidRDefault="00563297" w:rsidP="00082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E226" w14:textId="77777777" w:rsidR="00326559" w:rsidRDefault="00326559">
    <w:pPr>
      <w:pStyle w:val="a3"/>
      <w:jc w:val="center"/>
    </w:pPr>
  </w:p>
  <w:p w14:paraId="2C65A665" w14:textId="77777777" w:rsidR="00326559" w:rsidRDefault="00326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FD9"/>
    <w:rsid w:val="000239D4"/>
    <w:rsid w:val="00074F62"/>
    <w:rsid w:val="000821CE"/>
    <w:rsid w:val="000D6893"/>
    <w:rsid w:val="000E30FB"/>
    <w:rsid w:val="001A62BF"/>
    <w:rsid w:val="001B75BB"/>
    <w:rsid w:val="001E186E"/>
    <w:rsid w:val="002267B4"/>
    <w:rsid w:val="002416CE"/>
    <w:rsid w:val="002A6688"/>
    <w:rsid w:val="002A7FD3"/>
    <w:rsid w:val="002C0EE2"/>
    <w:rsid w:val="002D0241"/>
    <w:rsid w:val="002D32E4"/>
    <w:rsid w:val="002D4859"/>
    <w:rsid w:val="002D6A0B"/>
    <w:rsid w:val="00322BDF"/>
    <w:rsid w:val="00326559"/>
    <w:rsid w:val="00327D6C"/>
    <w:rsid w:val="003B2AC8"/>
    <w:rsid w:val="003C4766"/>
    <w:rsid w:val="003C579A"/>
    <w:rsid w:val="003D5285"/>
    <w:rsid w:val="003E3717"/>
    <w:rsid w:val="003F2FBB"/>
    <w:rsid w:val="003F7DCE"/>
    <w:rsid w:val="004345DC"/>
    <w:rsid w:val="00446A4D"/>
    <w:rsid w:val="004503FE"/>
    <w:rsid w:val="00472070"/>
    <w:rsid w:val="004B5D58"/>
    <w:rsid w:val="004D70A4"/>
    <w:rsid w:val="00524E30"/>
    <w:rsid w:val="00542C8C"/>
    <w:rsid w:val="00543DDF"/>
    <w:rsid w:val="0056067F"/>
    <w:rsid w:val="00563297"/>
    <w:rsid w:val="005863E4"/>
    <w:rsid w:val="005E7FD9"/>
    <w:rsid w:val="0068669B"/>
    <w:rsid w:val="00690AB5"/>
    <w:rsid w:val="006A4C72"/>
    <w:rsid w:val="006B47E4"/>
    <w:rsid w:val="006B52CA"/>
    <w:rsid w:val="006E7B0F"/>
    <w:rsid w:val="006F05D2"/>
    <w:rsid w:val="00753EBA"/>
    <w:rsid w:val="00757CAA"/>
    <w:rsid w:val="00781C49"/>
    <w:rsid w:val="007D17EB"/>
    <w:rsid w:val="007F22D7"/>
    <w:rsid w:val="0081141A"/>
    <w:rsid w:val="00853BE6"/>
    <w:rsid w:val="008C383E"/>
    <w:rsid w:val="008D23EC"/>
    <w:rsid w:val="008E31F7"/>
    <w:rsid w:val="00905491"/>
    <w:rsid w:val="00953DFC"/>
    <w:rsid w:val="00992D2B"/>
    <w:rsid w:val="009B3106"/>
    <w:rsid w:val="009B65C3"/>
    <w:rsid w:val="009F2AA6"/>
    <w:rsid w:val="00A06E23"/>
    <w:rsid w:val="00A423C4"/>
    <w:rsid w:val="00A55B45"/>
    <w:rsid w:val="00AE27E3"/>
    <w:rsid w:val="00B233DA"/>
    <w:rsid w:val="00B25AF3"/>
    <w:rsid w:val="00B36EA5"/>
    <w:rsid w:val="00B65E74"/>
    <w:rsid w:val="00B82388"/>
    <w:rsid w:val="00BA3825"/>
    <w:rsid w:val="00C06CE9"/>
    <w:rsid w:val="00C10DAF"/>
    <w:rsid w:val="00C1149F"/>
    <w:rsid w:val="00C436A5"/>
    <w:rsid w:val="00C57B19"/>
    <w:rsid w:val="00C80074"/>
    <w:rsid w:val="00CA4897"/>
    <w:rsid w:val="00CC6522"/>
    <w:rsid w:val="00CE47DE"/>
    <w:rsid w:val="00D03C32"/>
    <w:rsid w:val="00D2225D"/>
    <w:rsid w:val="00D5020F"/>
    <w:rsid w:val="00D64C8A"/>
    <w:rsid w:val="00D92C90"/>
    <w:rsid w:val="00DF1CA7"/>
    <w:rsid w:val="00E031A8"/>
    <w:rsid w:val="00E113CD"/>
    <w:rsid w:val="00E1774F"/>
    <w:rsid w:val="00E248D1"/>
    <w:rsid w:val="00E37F83"/>
    <w:rsid w:val="00E9757B"/>
    <w:rsid w:val="00EA356F"/>
    <w:rsid w:val="00EC2EB3"/>
    <w:rsid w:val="00ED6BE9"/>
    <w:rsid w:val="00EE0879"/>
    <w:rsid w:val="00EE6AE0"/>
    <w:rsid w:val="00EF6AFD"/>
    <w:rsid w:val="00F33E20"/>
    <w:rsid w:val="00F40F09"/>
    <w:rsid w:val="00F74240"/>
    <w:rsid w:val="00F92EFC"/>
    <w:rsid w:val="00FA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5719"/>
  <w15:docId w15:val="{1249C322-5FF2-409C-9269-B0CA7E1F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F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37F83"/>
  </w:style>
  <w:style w:type="paragraph" w:styleId="a5">
    <w:name w:val="Balloon Text"/>
    <w:basedOn w:val="a"/>
    <w:link w:val="a6"/>
    <w:uiPriority w:val="99"/>
    <w:semiHidden/>
    <w:unhideWhenUsed/>
    <w:rsid w:val="00E3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7F8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0821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821CE"/>
  </w:style>
  <w:style w:type="paragraph" w:styleId="a9">
    <w:name w:val="List Paragraph"/>
    <w:basedOn w:val="a"/>
    <w:uiPriority w:val="34"/>
    <w:qFormat/>
    <w:rsid w:val="006B52CA"/>
    <w:pPr>
      <w:ind w:left="720"/>
      <w:contextualSpacing/>
    </w:pPr>
  </w:style>
  <w:style w:type="character" w:customStyle="1" w:styleId="rvts0">
    <w:name w:val="rvts0"/>
    <w:basedOn w:val="a0"/>
    <w:rsid w:val="00A423C4"/>
  </w:style>
  <w:style w:type="character" w:styleId="aa">
    <w:name w:val="Hyperlink"/>
    <w:basedOn w:val="a0"/>
    <w:uiPriority w:val="99"/>
    <w:semiHidden/>
    <w:unhideWhenUsed/>
    <w:rsid w:val="00A423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04B7D-7344-43C4-B667-1EDD3E91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1576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23</cp:revision>
  <cp:lastPrinted>2023-08-14T13:03:00Z</cp:lastPrinted>
  <dcterms:created xsi:type="dcterms:W3CDTF">2023-08-10T14:15:00Z</dcterms:created>
  <dcterms:modified xsi:type="dcterms:W3CDTF">2023-08-16T05:06:00Z</dcterms:modified>
</cp:coreProperties>
</file>