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3B4E2D" w:rsidP="003B4E2D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25 </w:t>
      </w:r>
      <w:r w:rsidR="00793C67">
        <w:rPr>
          <w:sz w:val="28"/>
        </w:rPr>
        <w:t>т</w:t>
      </w:r>
      <w:r w:rsidR="00696520">
        <w:rPr>
          <w:sz w:val="28"/>
        </w:rPr>
        <w:t>рав</w:t>
      </w:r>
      <w:r w:rsidR="00793C67">
        <w:rPr>
          <w:sz w:val="28"/>
        </w:rPr>
        <w:t>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</w:t>
      </w:r>
      <w:r>
        <w:rPr>
          <w:sz w:val="28"/>
        </w:rPr>
        <w:t xml:space="preserve">     </w:t>
      </w:r>
      <w:r w:rsidR="006F0637">
        <w:rPr>
          <w:sz w:val="28"/>
        </w:rPr>
        <w:t xml:space="preserve"> </w:t>
      </w:r>
      <w:r w:rsidR="00E96CA4">
        <w:rPr>
          <w:sz w:val="28"/>
        </w:rPr>
        <w:t xml:space="preserve">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234</w:t>
      </w:r>
      <w:bookmarkStart w:id="0" w:name="_GoBack"/>
      <w:bookmarkEnd w:id="0"/>
    </w:p>
    <w:p w:rsidR="003F565C" w:rsidRPr="00287391" w:rsidRDefault="003F565C" w:rsidP="005C15E1">
      <w:pPr>
        <w:jc w:val="center"/>
        <w:rPr>
          <w:sz w:val="16"/>
          <w:szCs w:val="16"/>
        </w:rPr>
      </w:pPr>
    </w:p>
    <w:p w:rsidR="00287391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>припинення права постійного користув</w:t>
      </w:r>
      <w:r w:rsidR="00061CEA">
        <w:rPr>
          <w:sz w:val="28"/>
          <w:szCs w:val="28"/>
        </w:rPr>
        <w:t>а</w:t>
      </w:r>
      <w:r w:rsidR="00D23501">
        <w:rPr>
          <w:sz w:val="28"/>
          <w:szCs w:val="28"/>
        </w:rPr>
        <w:t xml:space="preserve">ння </w:t>
      </w:r>
    </w:p>
    <w:p w:rsidR="00AE3EEA" w:rsidRPr="00C82EA7" w:rsidRDefault="00D23501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  <w:r>
        <w:rPr>
          <w:sz w:val="28"/>
          <w:szCs w:val="28"/>
        </w:rPr>
        <w:t xml:space="preserve">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:rsidR="00AE3EEA" w:rsidRPr="00C82EA7" w:rsidRDefault="00AE3EEA" w:rsidP="00AE3EEA">
      <w:pPr>
        <w:jc w:val="center"/>
        <w:rPr>
          <w:sz w:val="16"/>
          <w:szCs w:val="16"/>
        </w:rPr>
      </w:pPr>
    </w:p>
    <w:p w:rsidR="00AE3EEA" w:rsidRPr="00CA6AEA" w:rsidRDefault="00AE3EEA" w:rsidP="00CA6AEA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7355D" w:rsidRPr="00B7355D">
        <w:rPr>
          <w:color w:val="000000"/>
          <w:sz w:val="28"/>
          <w:szCs w:val="28"/>
          <w:lang w:val="uk-UA" w:eastAsia="uk-UA"/>
        </w:rPr>
        <w:t xml:space="preserve"> 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8B36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CA177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</w:t>
      </w:r>
      <w:r w:rsid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B7355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126, </w:t>
      </w:r>
      <w:r w:rsidR="00D2220B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142,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B6A1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1003 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>«Деякі питання реформування управління лісової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 «</w:t>
      </w:r>
      <w:r w:rsidR="00793C67">
        <w:rPr>
          <w:rFonts w:ascii="Times New Roman" w:hAnsi="Times New Roman" w:cs="Times New Roman"/>
          <w:sz w:val="28"/>
          <w:szCs w:val="28"/>
          <w:lang w:val="uk-UA"/>
        </w:rPr>
        <w:t>Ковельське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A177C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3C67">
        <w:rPr>
          <w:rFonts w:ascii="Times New Roman" w:hAnsi="Times New Roman" w:cs="Times New Roman"/>
          <w:sz w:val="28"/>
          <w:szCs w:val="28"/>
          <w:lang w:val="uk-UA"/>
        </w:rPr>
        <w:t xml:space="preserve">Ковельське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лісове господарство»</w:t>
      </w:r>
      <w:r w:rsidR="00B77087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</w:t>
      </w:r>
      <w:r w:rsidR="006335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витяги з Державного реєстру речових прав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>, довіренсть від 21.12.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>2022 №</w:t>
      </w:r>
      <w:r w:rsidR="001B6A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106C69" w:rsidRPr="007110BA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Pr="007110B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CEA" w:rsidRPr="00287391" w:rsidRDefault="00061CEA" w:rsidP="00061CEA">
      <w:pPr>
        <w:ind w:firstLine="567"/>
        <w:jc w:val="both"/>
        <w:rPr>
          <w:sz w:val="16"/>
          <w:szCs w:val="16"/>
        </w:rPr>
      </w:pPr>
    </w:p>
    <w:p w:rsidR="00061CEA" w:rsidRPr="00CA7F53" w:rsidRDefault="00061CEA" w:rsidP="00CA7F53">
      <w:pPr>
        <w:ind w:firstLine="567"/>
        <w:jc w:val="both"/>
        <w:rPr>
          <w:sz w:val="28"/>
          <w:szCs w:val="28"/>
        </w:rPr>
      </w:pPr>
      <w:r w:rsidRPr="00EC485C">
        <w:rPr>
          <w:sz w:val="28"/>
          <w:szCs w:val="28"/>
        </w:rPr>
        <w:t xml:space="preserve">1. Припинити </w:t>
      </w:r>
      <w:r w:rsidR="001A7A28" w:rsidRPr="00EC485C">
        <w:rPr>
          <w:sz w:val="28"/>
          <w:szCs w:val="28"/>
        </w:rPr>
        <w:t>державному підприємству «</w:t>
      </w:r>
      <w:r w:rsidR="00793C67">
        <w:rPr>
          <w:sz w:val="28"/>
          <w:szCs w:val="28"/>
        </w:rPr>
        <w:t>Ковельське</w:t>
      </w:r>
      <w:r w:rsidR="001A7A28" w:rsidRPr="00EC485C">
        <w:rPr>
          <w:sz w:val="28"/>
          <w:szCs w:val="28"/>
        </w:rPr>
        <w:t xml:space="preserve"> лісове господарство»</w:t>
      </w:r>
      <w:r w:rsidRPr="00EC485C">
        <w:rPr>
          <w:sz w:val="28"/>
          <w:szCs w:val="28"/>
        </w:rPr>
        <w:t xml:space="preserve"> (ЄДРПОУ </w:t>
      </w:r>
      <w:r w:rsidR="00793C67">
        <w:rPr>
          <w:sz w:val="28"/>
          <w:szCs w:val="28"/>
        </w:rPr>
        <w:t> 00991539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ими</w:t>
      </w:r>
      <w:r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0F1E7E">
        <w:rPr>
          <w:spacing w:val="-4"/>
          <w:sz w:val="28"/>
          <w:szCs w:val="28"/>
        </w:rPr>
        <w:t>1</w:t>
      </w:r>
      <w:r w:rsidR="001B6A15">
        <w:rPr>
          <w:spacing w:val="-4"/>
          <w:sz w:val="28"/>
          <w:szCs w:val="28"/>
        </w:rPr>
        <w:t> </w:t>
      </w:r>
      <w:r w:rsidR="000F1E7E">
        <w:rPr>
          <w:spacing w:val="-4"/>
          <w:sz w:val="28"/>
          <w:szCs w:val="28"/>
        </w:rPr>
        <w:t>467,5982</w:t>
      </w:r>
      <w:r w:rsidR="00030C5E">
        <w:rPr>
          <w:spacing w:val="-4"/>
          <w:sz w:val="28"/>
          <w:szCs w:val="28"/>
        </w:rPr>
        <w:t xml:space="preserve"> </w:t>
      </w:r>
      <w:r w:rsidR="001A7A28">
        <w:rPr>
          <w:spacing w:val="-4"/>
          <w:sz w:val="28"/>
          <w:szCs w:val="28"/>
        </w:rPr>
        <w:t>га</w:t>
      </w:r>
      <w:r w:rsidR="001A7A28">
        <w:rPr>
          <w:sz w:val="28"/>
          <w:szCs w:val="28"/>
        </w:rPr>
        <w:t xml:space="preserve"> землі лісогосподарського призначення </w:t>
      </w:r>
      <w:r w:rsidR="001A7A28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1A7A28">
        <w:rPr>
          <w:sz w:val="28"/>
          <w:szCs w:val="28"/>
        </w:rPr>
        <w:t xml:space="preserve"> розташовани</w:t>
      </w:r>
      <w:r w:rsidR="00287391">
        <w:rPr>
          <w:sz w:val="28"/>
          <w:szCs w:val="28"/>
        </w:rPr>
        <w:t>ми</w:t>
      </w:r>
      <w:r w:rsidR="001A7A28">
        <w:rPr>
          <w:sz w:val="28"/>
          <w:szCs w:val="28"/>
        </w:rPr>
        <w:t xml:space="preserve"> на </w:t>
      </w:r>
      <w:r w:rsidR="00A840F0">
        <w:rPr>
          <w:sz w:val="28"/>
          <w:szCs w:val="28"/>
        </w:rPr>
        <w:t xml:space="preserve">території Ковельського району за </w:t>
      </w:r>
      <w:r w:rsidR="001A7A28">
        <w:rPr>
          <w:sz w:val="28"/>
          <w:szCs w:val="28"/>
        </w:rPr>
        <w:t>межами населених пунктів</w:t>
      </w:r>
      <w:r w:rsidR="004746C9">
        <w:rPr>
          <w:sz w:val="28"/>
          <w:szCs w:val="28"/>
        </w:rPr>
        <w:t xml:space="preserve"> </w:t>
      </w:r>
      <w:r w:rsidR="00CA7F53">
        <w:rPr>
          <w:sz w:val="28"/>
          <w:szCs w:val="28"/>
        </w:rPr>
        <w:t>Волинської області</w:t>
      </w:r>
      <w:r w:rsidR="001A7A28">
        <w:rPr>
          <w:sz w:val="28"/>
          <w:szCs w:val="28"/>
        </w:rPr>
        <w:t>,</w:t>
      </w:r>
      <w:r>
        <w:rPr>
          <w:sz w:val="28"/>
          <w:szCs w:val="28"/>
        </w:rPr>
        <w:t xml:space="preserve"> 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="008613F8" w:rsidRPr="008613F8">
        <w:rPr>
          <w:color w:val="333333"/>
          <w:shd w:val="clear" w:color="auto" w:fill="FFFFFF"/>
        </w:rPr>
        <w:t xml:space="preserve"> </w:t>
      </w:r>
      <w:r w:rsidR="008613F8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EC485C"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EC485C">
        <w:rPr>
          <w:sz w:val="28"/>
          <w:szCs w:val="28"/>
        </w:rPr>
        <w:t>згідно з додатком.</w:t>
      </w:r>
    </w:p>
    <w:p w:rsidR="006335D6" w:rsidRPr="00287391" w:rsidRDefault="006335D6" w:rsidP="00F124F3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:rsidR="00F124F3" w:rsidRDefault="00F124F3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408F1">
        <w:rPr>
          <w:sz w:val="28"/>
          <w:szCs w:val="28"/>
        </w:rPr>
        <w:t>2. </w:t>
      </w:r>
      <w:r w:rsidR="001A7A28">
        <w:rPr>
          <w:sz w:val="28"/>
          <w:szCs w:val="28"/>
        </w:rPr>
        <w:t xml:space="preserve">Державному підприємству </w:t>
      </w:r>
      <w:r w:rsidR="00CA7F53" w:rsidRPr="00EC485C">
        <w:rPr>
          <w:sz w:val="28"/>
          <w:szCs w:val="28"/>
        </w:rPr>
        <w:t>«</w:t>
      </w:r>
      <w:r w:rsidR="00793C67">
        <w:rPr>
          <w:sz w:val="28"/>
          <w:szCs w:val="28"/>
        </w:rPr>
        <w:t>Ковельське</w:t>
      </w:r>
      <w:r w:rsidR="00CA7F53" w:rsidRPr="00EC485C">
        <w:rPr>
          <w:sz w:val="28"/>
          <w:szCs w:val="28"/>
        </w:rPr>
        <w:t xml:space="preserve"> лісове господарство» (ЄДРПОУ  </w:t>
      </w:r>
      <w:r w:rsidR="00793C67">
        <w:rPr>
          <w:sz w:val="28"/>
          <w:szCs w:val="28"/>
        </w:rPr>
        <w:t>00991539</w:t>
      </w:r>
      <w:r w:rsidR="00CA7F53" w:rsidRPr="00EC485C">
        <w:rPr>
          <w:sz w:val="28"/>
          <w:szCs w:val="28"/>
        </w:rPr>
        <w:t>)</w:t>
      </w:r>
      <w:r w:rsidR="00CA7F53">
        <w:rPr>
          <w:sz w:val="28"/>
          <w:szCs w:val="28"/>
        </w:rPr>
        <w:t xml:space="preserve"> </w:t>
      </w:r>
      <w:r w:rsidRPr="004408F1">
        <w:rPr>
          <w:sz w:val="28"/>
          <w:szCs w:val="28"/>
        </w:rPr>
        <w:t>здійснити заходи, пов’язані з державною реєстрацією припинення права постійного користування земельн</w:t>
      </w:r>
      <w:r w:rsidR="001A7A28">
        <w:rPr>
          <w:sz w:val="28"/>
          <w:szCs w:val="28"/>
        </w:rPr>
        <w:t>ими ділянками</w:t>
      </w:r>
      <w:r w:rsidRPr="004408F1">
        <w:rPr>
          <w:sz w:val="28"/>
          <w:szCs w:val="28"/>
        </w:rPr>
        <w:t>, зазначен</w:t>
      </w:r>
      <w:r w:rsidR="001A7A28">
        <w:rPr>
          <w:sz w:val="28"/>
          <w:szCs w:val="28"/>
        </w:rPr>
        <w:t>ими</w:t>
      </w:r>
      <w:r w:rsidRPr="004408F1">
        <w:rPr>
          <w:sz w:val="28"/>
          <w:szCs w:val="28"/>
        </w:rPr>
        <w:t xml:space="preserve"> в пункті 1 розпорядження, в установленому законом порядку.</w:t>
      </w:r>
    </w:p>
    <w:p w:rsidR="00F124F3" w:rsidRPr="00287391" w:rsidRDefault="00F124F3" w:rsidP="00CA6AEA">
      <w:pPr>
        <w:jc w:val="both"/>
        <w:rPr>
          <w:sz w:val="16"/>
          <w:szCs w:val="16"/>
        </w:rPr>
      </w:pPr>
    </w:p>
    <w:p w:rsidR="00AE3EEA" w:rsidRDefault="00F124F3" w:rsidP="00061C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3EEA" w:rsidRPr="00C82EA7">
        <w:rPr>
          <w:sz w:val="28"/>
          <w:szCs w:val="28"/>
        </w:rPr>
        <w:t>. </w:t>
      </w:r>
      <w:r w:rsidR="00DC023F"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DC023F"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 w:rsidR="00DC023F"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</w:t>
      </w:r>
      <w:r w:rsidR="001B6A15">
        <w:rPr>
          <w:sz w:val="28"/>
          <w:szCs w:val="28"/>
        </w:rPr>
        <w:t>в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і</w:t>
      </w:r>
      <w:r w:rsidR="00AE3EEA" w:rsidRPr="00EA0558"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и</w:t>
      </w:r>
      <w:r w:rsidR="00AE3EEA"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</w:t>
      </w:r>
      <w:r w:rsidR="00CA7F53">
        <w:rPr>
          <w:spacing w:val="-4"/>
          <w:sz w:val="28"/>
          <w:szCs w:val="28"/>
        </w:rPr>
        <w:t xml:space="preserve">загальною площею </w:t>
      </w:r>
      <w:r w:rsidR="000F1E7E">
        <w:rPr>
          <w:spacing w:val="-4"/>
          <w:sz w:val="28"/>
          <w:szCs w:val="28"/>
        </w:rPr>
        <w:t>1</w:t>
      </w:r>
      <w:r w:rsidR="001B6A15">
        <w:rPr>
          <w:spacing w:val="-4"/>
          <w:sz w:val="28"/>
          <w:szCs w:val="28"/>
        </w:rPr>
        <w:t> </w:t>
      </w:r>
      <w:r w:rsidR="000F1E7E">
        <w:rPr>
          <w:spacing w:val="-4"/>
          <w:sz w:val="28"/>
          <w:szCs w:val="28"/>
        </w:rPr>
        <w:t xml:space="preserve">467,5982 </w:t>
      </w:r>
      <w:r w:rsidR="00CA7F53">
        <w:rPr>
          <w:spacing w:val="-4"/>
          <w:sz w:val="28"/>
          <w:szCs w:val="28"/>
        </w:rPr>
        <w:t>га</w:t>
      </w:r>
      <w:r w:rsidR="00CA7F53">
        <w:rPr>
          <w:sz w:val="28"/>
          <w:szCs w:val="28"/>
        </w:rPr>
        <w:t xml:space="preserve"> землі лісогосподарського призначення </w:t>
      </w:r>
      <w:r w:rsidR="00CA7F53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CA7F53">
        <w:rPr>
          <w:sz w:val="28"/>
          <w:szCs w:val="28"/>
        </w:rPr>
        <w:t xml:space="preserve"> розташован</w:t>
      </w:r>
      <w:r w:rsidR="00287391">
        <w:rPr>
          <w:sz w:val="28"/>
          <w:szCs w:val="28"/>
        </w:rPr>
        <w:t>і</w:t>
      </w:r>
      <w:r w:rsidR="00CA7F53">
        <w:rPr>
          <w:sz w:val="28"/>
          <w:szCs w:val="28"/>
        </w:rPr>
        <w:t xml:space="preserve"> на території Ковельського району з</w:t>
      </w:r>
      <w:r w:rsidR="00380605">
        <w:rPr>
          <w:sz w:val="28"/>
          <w:szCs w:val="28"/>
        </w:rPr>
        <w:t>а</w:t>
      </w:r>
      <w:r w:rsidR="00CA7F53">
        <w:rPr>
          <w:sz w:val="28"/>
          <w:szCs w:val="28"/>
        </w:rPr>
        <w:t xml:space="preserve"> межами населених пунктів Волинської області,</w:t>
      </w:r>
      <w:r w:rsidR="00061C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</w:t>
      </w:r>
      <w:r w:rsidR="001A7A28">
        <w:rPr>
          <w:sz w:val="28"/>
          <w:szCs w:val="28"/>
        </w:rPr>
        <w:t>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642F61">
        <w:rPr>
          <w:sz w:val="28"/>
          <w:szCs w:val="28"/>
        </w:rPr>
        <w:t>.</w:t>
      </w:r>
    </w:p>
    <w:p w:rsidR="004746C9" w:rsidRDefault="004746C9" w:rsidP="00287391">
      <w:pPr>
        <w:jc w:val="center"/>
        <w:rPr>
          <w:sz w:val="28"/>
          <w:szCs w:val="28"/>
        </w:rPr>
      </w:pPr>
    </w:p>
    <w:p w:rsidR="004746C9" w:rsidRDefault="004746C9" w:rsidP="00287391">
      <w:pPr>
        <w:jc w:val="center"/>
        <w:rPr>
          <w:sz w:val="28"/>
          <w:szCs w:val="28"/>
        </w:rPr>
      </w:pPr>
    </w:p>
    <w:p w:rsidR="00287391" w:rsidRDefault="00287391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AE3EEA" w:rsidRDefault="00AE3EEA" w:rsidP="00AE3EEA">
      <w:pPr>
        <w:jc w:val="center"/>
        <w:rPr>
          <w:sz w:val="28"/>
          <w:szCs w:val="28"/>
        </w:rPr>
      </w:pPr>
    </w:p>
    <w:p w:rsidR="00AE3EEA" w:rsidRDefault="00F124F3" w:rsidP="00AE3EEA">
      <w:pPr>
        <w:pStyle w:val="21"/>
        <w:ind w:firstLine="567"/>
        <w:rPr>
          <w:szCs w:val="28"/>
        </w:rPr>
      </w:pPr>
      <w:r>
        <w:rPr>
          <w:szCs w:val="28"/>
        </w:rPr>
        <w:t>4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F61">
        <w:rPr>
          <w:rFonts w:ascii="Times New Roman" w:hAnsi="Times New Roman"/>
          <w:sz w:val="28"/>
          <w:lang w:val="ru-RU"/>
        </w:rPr>
        <w:t>ділянк</w:t>
      </w:r>
      <w:r w:rsidR="001A7A28">
        <w:rPr>
          <w:rFonts w:ascii="Times New Roman" w:hAnsi="Times New Roman"/>
          <w:sz w:val="28"/>
          <w:lang w:val="ru-RU"/>
        </w:rPr>
        <w:t>ами</w:t>
      </w:r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38060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</w:t>
      </w:r>
      <w:r w:rsidR="00696520">
        <w:rPr>
          <w:rFonts w:ascii="Times New Roman" w:hAnsi="Times New Roman"/>
          <w:sz w:val="28"/>
          <w:szCs w:val="28"/>
          <w:lang w:val="ru-RU"/>
        </w:rPr>
        <w:t>і 96 Земельного кодексу України;</w:t>
      </w:r>
    </w:p>
    <w:p w:rsidR="001D67DC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 xml:space="preserve">здійснити заходи </w:t>
      </w:r>
      <w:r w:rsidR="001B6A15">
        <w:rPr>
          <w:rFonts w:ascii="Times New Roman" w:hAnsi="Times New Roman"/>
          <w:sz w:val="28"/>
          <w:szCs w:val="28"/>
          <w:lang w:val="ru-RU"/>
        </w:rPr>
        <w:t>із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A61E3C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</w:p>
    <w:p w:rsidR="00AE3EEA" w:rsidRPr="00177EE3" w:rsidRDefault="00F124F3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CA6AEA" w:rsidRPr="0052378C" w:rsidRDefault="00CA6AEA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A6AEA" w:rsidRDefault="00CA6AEA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9A0FCD" w:rsidRPr="00F5163C" w:rsidRDefault="009A0FCD" w:rsidP="009A0FCD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</w:t>
      </w:r>
    </w:p>
    <w:p w:rsidR="009A0FCD" w:rsidRPr="00F5163C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9A0FCD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9A0FCD" w:rsidRPr="00287391" w:rsidRDefault="009A0FCD" w:rsidP="009A0FCD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9A0FCD" w:rsidRPr="008A5F70" w:rsidRDefault="009A0FCD" w:rsidP="00287391">
      <w:pPr>
        <w:tabs>
          <w:tab w:val="left" w:pos="5103"/>
        </w:tabs>
        <w:rPr>
          <w:spacing w:val="-6"/>
          <w:sz w:val="10"/>
          <w:szCs w:val="10"/>
        </w:rPr>
      </w:pPr>
    </w:p>
    <w:p w:rsidR="001B6A15" w:rsidRDefault="001B6A15" w:rsidP="009A0FCD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:rsidR="009A0FCD" w:rsidRDefault="009A0FCD" w:rsidP="009A0FCD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9A0FCD" w:rsidRDefault="009A0FCD" w:rsidP="009A0FCD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0F1E7E">
        <w:rPr>
          <w:spacing w:val="-4"/>
          <w:sz w:val="28"/>
          <w:szCs w:val="28"/>
        </w:rPr>
        <w:t>1</w:t>
      </w:r>
      <w:r w:rsidR="001B6A15">
        <w:rPr>
          <w:spacing w:val="-4"/>
          <w:sz w:val="28"/>
          <w:szCs w:val="28"/>
        </w:rPr>
        <w:t> </w:t>
      </w:r>
      <w:r w:rsidR="000F1E7E">
        <w:rPr>
          <w:spacing w:val="-4"/>
          <w:sz w:val="28"/>
          <w:szCs w:val="28"/>
        </w:rPr>
        <w:t>467,5982</w:t>
      </w:r>
      <w:r w:rsidR="00BB329F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 </w:t>
      </w:r>
    </w:p>
    <w:p w:rsidR="00287391" w:rsidRDefault="009A0FCD" w:rsidP="009A0FCD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 w:rsidR="001B6A15">
        <w:rPr>
          <w:sz w:val="28"/>
          <w:szCs w:val="28"/>
        </w:rPr>
        <w:t>д</w:t>
      </w:r>
      <w:r>
        <w:rPr>
          <w:sz w:val="28"/>
          <w:szCs w:val="28"/>
        </w:rPr>
        <w:t xml:space="preserve">ержавному </w:t>
      </w:r>
    </w:p>
    <w:p w:rsidR="009A0FCD" w:rsidRPr="00221851" w:rsidRDefault="009A0FCD" w:rsidP="009A0FCD">
      <w:pPr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підприємству </w:t>
      </w:r>
      <w:r w:rsidRPr="00EC485C">
        <w:rPr>
          <w:sz w:val="28"/>
          <w:szCs w:val="28"/>
        </w:rPr>
        <w:t>«</w:t>
      </w:r>
      <w:r w:rsidR="004746C9">
        <w:rPr>
          <w:sz w:val="28"/>
          <w:szCs w:val="28"/>
        </w:rPr>
        <w:t>Ковельське</w:t>
      </w:r>
      <w:r w:rsidR="00287391">
        <w:rPr>
          <w:sz w:val="28"/>
          <w:szCs w:val="28"/>
        </w:rPr>
        <w:t xml:space="preserve"> лісове господарство» та </w:t>
      </w:r>
      <w:r>
        <w:rPr>
          <w:spacing w:val="-8"/>
          <w:sz w:val="28"/>
          <w:szCs w:val="28"/>
        </w:rPr>
        <w:t xml:space="preserve">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1B6A15">
        <w:rPr>
          <w:rStyle w:val="af4"/>
          <w:color w:val="000000"/>
          <w:sz w:val="28"/>
          <w:szCs w:val="28"/>
          <w:lang w:eastAsia="uk-UA"/>
        </w:rPr>
        <w:t>в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</w:p>
    <w:p w:rsidR="009A0FCD" w:rsidRPr="00287391" w:rsidRDefault="009A0FCD" w:rsidP="009A0FCD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7634B7">
        <w:trPr>
          <w:trHeight w:val="787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9A0FCD" w:rsidRPr="00A769EC" w:rsidRDefault="009A0FCD" w:rsidP="007634B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0F1E7E" w:rsidRPr="00A769EC" w:rsidTr="00E11E7A">
        <w:trPr>
          <w:trHeight w:val="70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  <w:lang w:val="ru-RU"/>
              </w:rPr>
            </w:pPr>
            <w:r w:rsidRPr="00C94C9B">
              <w:rPr>
                <w:sz w:val="28"/>
                <w:szCs w:val="28"/>
              </w:rPr>
              <w:t>8,1093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  <w:lang w:val="ru-RU"/>
              </w:rPr>
            </w:pPr>
            <w:r w:rsidRPr="00C94C9B">
              <w:rPr>
                <w:sz w:val="28"/>
                <w:szCs w:val="28"/>
              </w:rPr>
              <w:t>0725086001:01:000:0103</w:t>
            </w:r>
          </w:p>
        </w:tc>
      </w:tr>
      <w:tr w:rsidR="000F1E7E" w:rsidRPr="00A769EC" w:rsidTr="001840E8">
        <w:trPr>
          <w:trHeight w:val="240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57,872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0725055000:06:000:0022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105,2153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0725086000:03:000:0050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16,5248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0725085503:03:000:0412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16,0398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0725084802:06:000:0257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301,4713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0725084800:05:000:0200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124,3316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0725084800:04:000:0522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27,0868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0725085404:04:000:0045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2,2629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0725086001:01:000:0102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8,3691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0725086000:03:000:0049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1B6A15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48,31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0725085404:04:000:0046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1B6A15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33,392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0725055000:06:000:0021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284,1779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0725084800:02:000:0259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1,4273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0725055100:01:011:0028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241,1648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0725055000:06:000:0020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6,3489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0725086001:01:000:0099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1B6A15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0725084800:05:000:0198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10,1113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0725085503:03:000:0411</w:t>
            </w:r>
          </w:p>
        </w:tc>
      </w:tr>
      <w:tr w:rsidR="000F1E7E" w:rsidRPr="00A769EC" w:rsidTr="002F1B4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39,3641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0725084802:06:000:0256</w:t>
            </w:r>
          </w:p>
        </w:tc>
      </w:tr>
      <w:tr w:rsidR="000F1E7E" w:rsidRPr="00A769EC" w:rsidTr="002F1B4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123,5572</w:t>
            </w:r>
          </w:p>
        </w:tc>
        <w:tc>
          <w:tcPr>
            <w:tcW w:w="6521" w:type="dxa"/>
            <w:vAlign w:val="bottom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0725085502:05:000:0289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4,8544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0725085502:02:001:0141</w:t>
            </w:r>
          </w:p>
        </w:tc>
      </w:tr>
      <w:tr w:rsidR="000F1E7E" w:rsidRPr="00A769EC" w:rsidTr="001840E8">
        <w:trPr>
          <w:trHeight w:val="234"/>
        </w:trPr>
        <w:tc>
          <w:tcPr>
            <w:tcW w:w="745" w:type="dxa"/>
            <w:vAlign w:val="bottom"/>
          </w:tcPr>
          <w:p w:rsidR="000F1E7E" w:rsidRPr="00A769EC" w:rsidRDefault="000F1E7E" w:rsidP="000F1E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1B6A1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5,6074</w:t>
            </w:r>
          </w:p>
        </w:tc>
        <w:tc>
          <w:tcPr>
            <w:tcW w:w="6521" w:type="dxa"/>
            <w:vAlign w:val="center"/>
          </w:tcPr>
          <w:p w:rsidR="000F1E7E" w:rsidRPr="00C94C9B" w:rsidRDefault="000F1E7E" w:rsidP="000F1E7E">
            <w:pPr>
              <w:jc w:val="center"/>
              <w:rPr>
                <w:sz w:val="28"/>
                <w:szCs w:val="28"/>
              </w:rPr>
            </w:pPr>
            <w:r w:rsidRPr="00C94C9B">
              <w:rPr>
                <w:sz w:val="28"/>
                <w:szCs w:val="28"/>
              </w:rPr>
              <w:t>0725084800:05:000:0199</w:t>
            </w:r>
          </w:p>
        </w:tc>
      </w:tr>
    </w:tbl>
    <w:p w:rsidR="00632A51" w:rsidRDefault="009A0FCD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287391">
        <w:rPr>
          <w:sz w:val="28"/>
          <w:szCs w:val="28"/>
        </w:rPr>
        <w:t>_________________________</w:t>
      </w:r>
    </w:p>
    <w:sectPr w:rsidR="00632A51" w:rsidSect="00287391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7D3" w:rsidRDefault="002E47D3" w:rsidP="00E96CA4">
      <w:r>
        <w:separator/>
      </w:r>
    </w:p>
  </w:endnote>
  <w:endnote w:type="continuationSeparator" w:id="0">
    <w:p w:rsidR="002E47D3" w:rsidRDefault="002E47D3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7D3" w:rsidRDefault="002E47D3" w:rsidP="00E96CA4">
      <w:r>
        <w:separator/>
      </w:r>
    </w:p>
  </w:footnote>
  <w:footnote w:type="continuationSeparator" w:id="0">
    <w:p w:rsidR="002E47D3" w:rsidRDefault="002E47D3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181C"/>
    <w:rsid w:val="00022F5D"/>
    <w:rsid w:val="00024E58"/>
    <w:rsid w:val="000267D1"/>
    <w:rsid w:val="00030C5E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36C3"/>
    <w:rsid w:val="00060EF7"/>
    <w:rsid w:val="00061CEA"/>
    <w:rsid w:val="000626DC"/>
    <w:rsid w:val="000652CA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19A"/>
    <w:rsid w:val="000E7487"/>
    <w:rsid w:val="000F028A"/>
    <w:rsid w:val="000F1E7E"/>
    <w:rsid w:val="000F42FE"/>
    <w:rsid w:val="000F6D45"/>
    <w:rsid w:val="0010453D"/>
    <w:rsid w:val="00104865"/>
    <w:rsid w:val="00106C69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4ACF"/>
    <w:rsid w:val="001451B7"/>
    <w:rsid w:val="00151E6F"/>
    <w:rsid w:val="00153152"/>
    <w:rsid w:val="001536DA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74B"/>
    <w:rsid w:val="001939F4"/>
    <w:rsid w:val="00193A48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B6A15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479E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E47D3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4E2D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46C9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67BE0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4258"/>
    <w:rsid w:val="00694A13"/>
    <w:rsid w:val="00696520"/>
    <w:rsid w:val="00696544"/>
    <w:rsid w:val="00697F61"/>
    <w:rsid w:val="006A009D"/>
    <w:rsid w:val="006A2BBE"/>
    <w:rsid w:val="006A2BF6"/>
    <w:rsid w:val="006A7586"/>
    <w:rsid w:val="006B2FEC"/>
    <w:rsid w:val="006B3D77"/>
    <w:rsid w:val="006B4A77"/>
    <w:rsid w:val="006B6B3B"/>
    <w:rsid w:val="006B71A1"/>
    <w:rsid w:val="006C0630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0BA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2F55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3C67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0B35"/>
    <w:rsid w:val="00817F77"/>
    <w:rsid w:val="00822C63"/>
    <w:rsid w:val="008271F1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13F8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4AE8"/>
    <w:rsid w:val="009479B2"/>
    <w:rsid w:val="009517F7"/>
    <w:rsid w:val="00955E71"/>
    <w:rsid w:val="009560A0"/>
    <w:rsid w:val="00956A7E"/>
    <w:rsid w:val="009574D8"/>
    <w:rsid w:val="00957929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2EE1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90B17"/>
    <w:rsid w:val="00A9128E"/>
    <w:rsid w:val="00A934A8"/>
    <w:rsid w:val="00A93541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39E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4B11"/>
    <w:rsid w:val="00B66A7F"/>
    <w:rsid w:val="00B66F40"/>
    <w:rsid w:val="00B71389"/>
    <w:rsid w:val="00B715C7"/>
    <w:rsid w:val="00B7308D"/>
    <w:rsid w:val="00B7355D"/>
    <w:rsid w:val="00B73EDB"/>
    <w:rsid w:val="00B75136"/>
    <w:rsid w:val="00B761F9"/>
    <w:rsid w:val="00B77087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29F"/>
    <w:rsid w:val="00BB355A"/>
    <w:rsid w:val="00BB4D42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4C9B"/>
    <w:rsid w:val="00C95F3B"/>
    <w:rsid w:val="00CA0A5A"/>
    <w:rsid w:val="00CA177C"/>
    <w:rsid w:val="00CA2EFE"/>
    <w:rsid w:val="00CA30AF"/>
    <w:rsid w:val="00CA5CCF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4A7E"/>
    <w:rsid w:val="00CB4D23"/>
    <w:rsid w:val="00CB5655"/>
    <w:rsid w:val="00CB7A9B"/>
    <w:rsid w:val="00CB7C0C"/>
    <w:rsid w:val="00CC0596"/>
    <w:rsid w:val="00CC204D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1743A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3DFE"/>
    <w:rsid w:val="00E44D24"/>
    <w:rsid w:val="00E45EE0"/>
    <w:rsid w:val="00E4692D"/>
    <w:rsid w:val="00E50B83"/>
    <w:rsid w:val="00E552F6"/>
    <w:rsid w:val="00E557D9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797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56C9B1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530</Words>
  <Characters>4294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Admin</cp:lastModifiedBy>
  <cp:revision>6</cp:revision>
  <cp:lastPrinted>2023-05-16T09:39:00Z</cp:lastPrinted>
  <dcterms:created xsi:type="dcterms:W3CDTF">2023-05-10T07:42:00Z</dcterms:created>
  <dcterms:modified xsi:type="dcterms:W3CDTF">2023-05-25T11:42:00Z</dcterms:modified>
</cp:coreProperties>
</file>