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654" w:rsidRPr="00FF0654" w:rsidRDefault="00FF0654" w:rsidP="00FF06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ru-RU"/>
        </w:rPr>
      </w:pPr>
      <w:r w:rsidRPr="00FF065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 wp14:anchorId="1E6B5B8F" wp14:editId="5CC4D750">
            <wp:extent cx="438150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654" w:rsidRPr="00FF0654" w:rsidRDefault="00FF0654" w:rsidP="00FF0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8"/>
          <w:sz w:val="16"/>
          <w:szCs w:val="24"/>
          <w:lang w:eastAsia="ru-RU"/>
        </w:rPr>
      </w:pPr>
    </w:p>
    <w:p w:rsidR="00FF0654" w:rsidRPr="00FF0654" w:rsidRDefault="00FF0654" w:rsidP="00FF0654">
      <w:pPr>
        <w:keepNext/>
        <w:numPr>
          <w:ilvl w:val="1"/>
          <w:numId w:val="1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noProof/>
          <w:spacing w:val="14"/>
          <w:sz w:val="28"/>
          <w:szCs w:val="28"/>
          <w:lang w:val="ru-RU" w:eastAsia="ru-RU"/>
        </w:rPr>
      </w:pPr>
      <w:r w:rsidRPr="00FF0654">
        <w:rPr>
          <w:rFonts w:ascii="Times New Roman" w:eastAsia="Times New Roman" w:hAnsi="Times New Roman" w:cs="Times New Roman"/>
          <w:b/>
          <w:bCs/>
          <w:iCs/>
          <w:noProof/>
          <w:spacing w:val="14"/>
          <w:sz w:val="28"/>
          <w:szCs w:val="28"/>
          <w:lang w:eastAsia="ru-RU"/>
        </w:rPr>
        <w:t>ВОЛИНСЬКА ОБЛАСНА ДЕРЖАВНА АДМІНІСТРАЦІЯ</w:t>
      </w:r>
    </w:p>
    <w:p w:rsidR="00FF0654" w:rsidRPr="00FF0654" w:rsidRDefault="00FF0654" w:rsidP="00FF06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FF0654" w:rsidRPr="00FF0654" w:rsidRDefault="00FF0654" w:rsidP="00FF0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32"/>
          <w:szCs w:val="24"/>
          <w:lang w:eastAsia="ru-RU"/>
        </w:rPr>
      </w:pPr>
      <w:r w:rsidRPr="00FF0654">
        <w:rPr>
          <w:rFonts w:ascii="Times New Roman" w:eastAsia="Times New Roman" w:hAnsi="Times New Roman" w:cs="Times New Roman"/>
          <w:b/>
          <w:bCs/>
          <w:noProof/>
          <w:sz w:val="32"/>
          <w:szCs w:val="24"/>
          <w:lang w:eastAsia="ru-RU"/>
        </w:rPr>
        <w:t>РОЗПОРЯДЖЕННЯ</w:t>
      </w:r>
    </w:p>
    <w:p w:rsidR="00FF0654" w:rsidRPr="00FF0654" w:rsidRDefault="00FF0654" w:rsidP="00FF0654">
      <w:pPr>
        <w:keepNext/>
        <w:numPr>
          <w:ilvl w:val="0"/>
          <w:numId w:val="1"/>
        </w:numPr>
        <w:tabs>
          <w:tab w:val="left" w:pos="1423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</w:p>
    <w:p w:rsidR="00FF0654" w:rsidRPr="0011650A" w:rsidRDefault="0011650A" w:rsidP="00FF0654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val="en-US" w:eastAsia="ru-RU"/>
        </w:rPr>
        <w:t>16</w:t>
      </w:r>
      <w:r w:rsidR="00FF0654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квітня</w:t>
      </w:r>
      <w:r w:rsidR="00FF0654" w:rsidRPr="00FF0654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</w:t>
      </w:r>
      <w:r w:rsidR="00FF0654" w:rsidRPr="00FF0654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201</w:t>
      </w:r>
      <w:r w:rsidR="00FF0654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9</w:t>
      </w:r>
      <w:r w:rsidR="00FF0654" w:rsidRPr="00FF0654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року                         м.Луцьк                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4"/>
          <w:lang w:val="en-US" w:eastAsia="ru-RU"/>
        </w:rPr>
        <w:t xml:space="preserve">   </w:t>
      </w:r>
      <w:bookmarkStart w:id="0" w:name="_GoBack"/>
      <w:bookmarkEnd w:id="0"/>
      <w:r w:rsidR="00FF0654" w:rsidRPr="00FF0654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noProof/>
          <w:sz w:val="28"/>
          <w:szCs w:val="24"/>
          <w:lang w:val="en-US" w:eastAsia="ru-RU"/>
        </w:rPr>
        <w:t>215</w:t>
      </w:r>
    </w:p>
    <w:p w:rsidR="00FF0654" w:rsidRPr="00FF0654" w:rsidRDefault="00FF0654" w:rsidP="00FF0654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</w:pPr>
    </w:p>
    <w:p w:rsidR="00FF0654" w:rsidRPr="00FF0654" w:rsidRDefault="00FF0654" w:rsidP="00FF06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внесення</w:t>
      </w:r>
      <w:proofErr w:type="spellEnd"/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змін</w:t>
      </w:r>
      <w:proofErr w:type="spellEnd"/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розпорядження</w:t>
      </w:r>
      <w:proofErr w:type="spellEnd"/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FF0654" w:rsidRPr="00FF0654" w:rsidRDefault="00FF0654" w:rsidP="00FF06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обласної</w:t>
      </w:r>
      <w:proofErr w:type="spellEnd"/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державної</w:t>
      </w:r>
      <w:proofErr w:type="spellEnd"/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адміністрації</w:t>
      </w:r>
      <w:proofErr w:type="spellEnd"/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FF0654" w:rsidRPr="00FF0654" w:rsidRDefault="00FF0654" w:rsidP="00FF06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22 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червня</w:t>
      </w:r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8 </w:t>
      </w:r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року №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373</w:t>
      </w:r>
    </w:p>
    <w:p w:rsidR="00FF0654" w:rsidRPr="00FF0654" w:rsidRDefault="00FF0654" w:rsidP="00FF0654">
      <w:pPr>
        <w:spacing w:after="0" w:line="240" w:lineRule="auto"/>
        <w:rPr>
          <w:rFonts w:ascii="Times New Roman" w:eastAsia="Times New Roman" w:hAnsi="Times New Roman" w:cs="Times New Roman"/>
          <w:sz w:val="33"/>
          <w:szCs w:val="33"/>
          <w:lang w:val="ru-RU" w:eastAsia="ru-RU"/>
        </w:rPr>
      </w:pPr>
    </w:p>
    <w:p w:rsidR="00FF0654" w:rsidRPr="005E1525" w:rsidRDefault="00FF0654" w:rsidP="00866CB1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FF0654">
        <w:rPr>
          <w:rFonts w:ascii="Times New Roman" w:eastAsia="Times New Roman" w:hAnsi="Times New Roman" w:cs="Times New Roman"/>
          <w:sz w:val="33"/>
          <w:szCs w:val="33"/>
          <w:lang w:val="ru-RU" w:eastAsia="ru-RU"/>
        </w:rPr>
        <w:tab/>
      </w:r>
      <w:proofErr w:type="spellStart"/>
      <w:r w:rsidR="005E15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Відповідно</w:t>
      </w:r>
      <w:proofErr w:type="spellEnd"/>
      <w:r w:rsidR="005E15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</w:t>
      </w:r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статей 6, 39 Закону </w:t>
      </w:r>
      <w:proofErr w:type="spellStart"/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FF06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hyperlink r:id="rId6" w:history="1">
        <w:r w:rsidRPr="00FF065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Про місцеві державні     адміністрації</w:t>
        </w:r>
      </w:hyperlink>
      <w:r w:rsidRPr="00FF065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», </w:t>
      </w:r>
      <w:r w:rsidR="005E15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Закону України </w:t>
      </w:r>
      <w:r w:rsidR="005E1525" w:rsidRPr="005E15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«Про добровільне об’єднання територіальних громад»</w:t>
      </w:r>
      <w:r w:rsidR="005E15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="008A2622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</w:t>
      </w:r>
      <w:r w:rsidR="00866CB1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у</w:t>
      </w:r>
      <w:r w:rsidR="005E1525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раховуючи </w:t>
      </w:r>
      <w:r w:rsidR="008A2622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рішення</w:t>
      </w:r>
      <w:r w:rsidR="00217C93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Волинської обласної ради від 26</w:t>
      </w:r>
      <w:r w:rsidR="00866CB1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 вересня </w:t>
      </w:r>
      <w:r w:rsidR="00217C93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2018</w:t>
      </w:r>
      <w:r w:rsidR="00866CB1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 року</w:t>
      </w:r>
      <w:r w:rsidR="00217C93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№ 21/41 «Про підпорядкування села С</w:t>
      </w:r>
      <w:r w:rsidR="00900961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і</w:t>
      </w:r>
      <w:r w:rsidR="00217C93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льце Горохівського району</w:t>
      </w:r>
      <w:r w:rsidR="00B43A4A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»</w:t>
      </w:r>
      <w:r w:rsidR="005E1525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та</w:t>
      </w:r>
      <w:r w:rsidRPr="00FF065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клопотання </w:t>
      </w:r>
      <w:r w:rsidRPr="00FF065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Мар’янівсь</w:t>
      </w:r>
      <w:r w:rsidR="00866C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кої селищної ради Горохівського</w:t>
      </w:r>
      <w:r w:rsidRPr="00FF065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району Волинської області</w:t>
      </w:r>
      <w:r w:rsidR="005E15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E6FA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від 15 квітня 2019 року № 105/02-09/2-19</w:t>
      </w:r>
      <w:r w:rsidR="00866C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="00AE6FA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E15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внести </w:t>
      </w:r>
      <w:r w:rsidR="00866CB1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зміни</w:t>
      </w:r>
      <w:r w:rsidR="00866C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E15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до розпорядження</w:t>
      </w:r>
      <w:r w:rsidR="005E1525" w:rsidRPr="005E15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5E1525" w:rsidRPr="005E1525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голови обласної державної адміністрації від 22 </w:t>
      </w:r>
      <w:r w:rsidR="005E1525" w:rsidRPr="005E15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червня</w:t>
      </w:r>
      <w:r w:rsidR="005E1525" w:rsidRPr="005E1525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 xml:space="preserve"> 2018 року № 373</w:t>
      </w:r>
      <w:r w:rsidR="0057315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</w:t>
      </w:r>
    </w:p>
    <w:p w:rsidR="005E1525" w:rsidRDefault="00866CB1" w:rsidP="005E1525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E152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1 розпорядження</w:t>
      </w:r>
      <w:r w:rsidR="005E1525" w:rsidRPr="005E1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викласти у такій редакції:</w:t>
      </w:r>
      <w:r w:rsidR="005E1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73151" w:rsidRPr="00866CB1" w:rsidRDefault="00573151" w:rsidP="00866CB1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«</w:t>
      </w:r>
      <w:r w:rsidR="00866CB1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1. </w:t>
      </w:r>
      <w:r w:rsidR="009B6071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З</w:t>
      </w:r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атверди</w:t>
      </w:r>
      <w:r w:rsidR="005E1525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ти висновок Волинської обласної </w:t>
      </w:r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державної адміністрації щодо відповідності Конституції та законам України проектів рішень «Про добровільне об’єднання територіальних громад» щодо добровільного об’єднання територіальних громад селища міського типу </w:t>
      </w:r>
      <w:proofErr w:type="spellStart"/>
      <w:r w:rsidR="00866CB1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Мар’янівка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Мар</w:t>
      </w:r>
      <w:r w:rsidR="00866CB1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’</w:t>
      </w:r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янівської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селищної ради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Горохівського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району, сіл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Брани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,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Борисковичі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,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Довгів</w:t>
      </w:r>
      <w:proofErr w:type="spellEnd"/>
      <w:r w:rsidRPr="00866CB1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Бранівської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сільської ради</w:t>
      </w:r>
      <w:r w:rsidRPr="00866CB1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Горохівського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району, сіл Бужани,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Ржищів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Бужанівської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сільської ради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Горохівського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району, сіл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Цегів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,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Борочиче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, Широке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Цегівської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сільської ради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Горохівського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району Волинської області </w:t>
      </w:r>
      <w:r w:rsidR="00866CB1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в</w:t>
      </w:r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Мар</w:t>
      </w:r>
      <w:r w:rsidR="00866CB1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’</w:t>
      </w:r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янівську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селищну об’єднану територіальну громаду з адміністративним центром у селищі міського типу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Мар</w:t>
      </w:r>
      <w:r w:rsidR="00866CB1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’</w:t>
      </w:r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янівка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Горохівського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району Волинської області, схваленого рішеннями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Мар</w:t>
      </w:r>
      <w:r w:rsidR="00866CB1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’</w:t>
      </w:r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янівської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селищної ради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Горохівського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району Волинської області від </w:t>
      </w:r>
      <w:r w:rsidR="00866CB1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09 </w:t>
      </w:r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лютого 2018 року № 26/16 «Про схвалення проекту рішення селищної ради «Про добровільне об’єднання територіальних громад»</w:t>
      </w:r>
      <w:r w:rsidR="00217C93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(</w:t>
      </w:r>
      <w:r w:rsidR="00560FA3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зі</w:t>
      </w:r>
      <w:r w:rsidR="00217C93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змінами)</w:t>
      </w:r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,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Бужанівської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сільської ради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Горохівського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району Волинської області від 26 лютого 2018 року № 33/2 «Про схвалення проекту рішення сільської ради «Про добровільне об’єднання територіальних громад»</w:t>
      </w:r>
      <w:r w:rsidR="00217C93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560FA3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(зі</w:t>
      </w:r>
      <w:r w:rsidR="00217C93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змінами)</w:t>
      </w:r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,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Бранівської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сільської ради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Горохівського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району Волинської області від 15 лютого 2018 року № 28/6 «Про схвалення проекту рішення сільської ради «Про добровільне об’єднання територіальних громад»</w:t>
      </w:r>
      <w:r w:rsidR="00217C93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(</w:t>
      </w:r>
      <w:r w:rsidR="00560FA3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зі</w:t>
      </w:r>
      <w:r w:rsidR="00217C93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змінами)</w:t>
      </w:r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,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Цегівської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сільської ради </w:t>
      </w:r>
      <w:proofErr w:type="spellStart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Горохівського</w:t>
      </w:r>
      <w:proofErr w:type="spellEnd"/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р</w:t>
      </w:r>
      <w:r w:rsidR="00866CB1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айону Волинської області від 13 </w:t>
      </w:r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лютого 2018 року № 26/2 «Про схвалення проекту рішення сільської ради «Про добровільне об’єднання територіальних громад»</w:t>
      </w:r>
      <w:r w:rsidR="00866CB1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217C93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(</w:t>
      </w:r>
      <w:r w:rsidR="00560FA3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зі</w:t>
      </w:r>
      <w:r w:rsidR="00217C93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змінами)</w:t>
      </w:r>
      <w:r w:rsidR="004B6F7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 </w:t>
      </w:r>
      <w:r w:rsidR="004B6F79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(далі – Висновок)</w:t>
      </w:r>
      <w:r w:rsidR="00AE6FA7"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, що додається»</w:t>
      </w:r>
      <w:r w:rsidRPr="00866CB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.</w:t>
      </w:r>
    </w:p>
    <w:p w:rsidR="00FF0654" w:rsidRPr="005E1525" w:rsidRDefault="00866CB1" w:rsidP="005E1525">
      <w:pPr>
        <w:pStyle w:val="a5"/>
        <w:numPr>
          <w:ilvl w:val="0"/>
          <w:numId w:val="2"/>
        </w:numPr>
        <w:spacing w:after="0"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E152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атвердити нову редакцію Висновку, що додається.</w:t>
      </w:r>
    </w:p>
    <w:p w:rsidR="00AE6FA7" w:rsidRDefault="00AE6FA7" w:rsidP="00FF06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</w:p>
    <w:p w:rsidR="00FF0654" w:rsidRPr="00AE6FA7" w:rsidRDefault="00FF0654" w:rsidP="00FF06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</w:pPr>
      <w:r w:rsidRPr="00FF0654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Голова                                  </w:t>
      </w:r>
      <w:r w:rsidRPr="00FF0654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 xml:space="preserve">                                   </w:t>
      </w:r>
      <w:r w:rsidRPr="00FF0654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ab/>
        <w:t xml:space="preserve">                  О.САВЧЕНКО</w:t>
      </w:r>
    </w:p>
    <w:p w:rsidR="00AE6FA7" w:rsidRDefault="00AE6FA7" w:rsidP="00FF06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</w:p>
    <w:p w:rsidR="00FF0654" w:rsidRPr="00FF0654" w:rsidRDefault="00FF0654" w:rsidP="00FF06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</w:pPr>
      <w:r w:rsidRPr="00FF0654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Потапенко 778 16</w:t>
      </w:r>
      <w:r w:rsidRPr="00FF0654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0</w:t>
      </w:r>
    </w:p>
    <w:p w:rsidR="008C31DF" w:rsidRPr="00217C93" w:rsidRDefault="00FF0654" w:rsidP="00217C93">
      <w:pPr>
        <w:spacing w:after="0" w:line="240" w:lineRule="auto"/>
        <w:ind w:right="-545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  <w:r w:rsidRPr="00FF0654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Томчук 778 115</w:t>
      </w:r>
    </w:p>
    <w:sectPr w:rsidR="008C31DF" w:rsidRPr="00217C93" w:rsidSect="00866CB1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4DE5569"/>
    <w:multiLevelType w:val="hybridMultilevel"/>
    <w:tmpl w:val="691CDB30"/>
    <w:lvl w:ilvl="0" w:tplc="8ABE271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654"/>
    <w:rsid w:val="00097A15"/>
    <w:rsid w:val="0011650A"/>
    <w:rsid w:val="00217C93"/>
    <w:rsid w:val="004B6F79"/>
    <w:rsid w:val="00560FA3"/>
    <w:rsid w:val="00573151"/>
    <w:rsid w:val="005E1525"/>
    <w:rsid w:val="00866CB1"/>
    <w:rsid w:val="008A2622"/>
    <w:rsid w:val="008C31DF"/>
    <w:rsid w:val="00900961"/>
    <w:rsid w:val="009B6071"/>
    <w:rsid w:val="00AE6FA7"/>
    <w:rsid w:val="00B43A4A"/>
    <w:rsid w:val="00C162C2"/>
    <w:rsid w:val="00FF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AF687"/>
  <w15:chartTrackingRefBased/>
  <w15:docId w15:val="{A9068B65-20AC-4326-BF3F-AA3AB7FB7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26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262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E15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2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rada.gov.ua/go/586-1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1710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2019-04-15T07:17:00Z</cp:lastPrinted>
  <dcterms:created xsi:type="dcterms:W3CDTF">2019-04-12T13:25:00Z</dcterms:created>
  <dcterms:modified xsi:type="dcterms:W3CDTF">2019-04-16T14:02:00Z</dcterms:modified>
</cp:coreProperties>
</file>