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7BF" w:rsidRPr="00D957BF" w:rsidRDefault="00D957BF" w:rsidP="00D957B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ru-RU"/>
        </w:rPr>
      </w:pPr>
      <w:r w:rsidRPr="00D957BF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 wp14:anchorId="22DFB09F" wp14:editId="3A186F70">
            <wp:extent cx="43815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7BF" w:rsidRPr="00D957BF" w:rsidRDefault="00D957BF" w:rsidP="00D95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8"/>
          <w:sz w:val="16"/>
          <w:szCs w:val="24"/>
          <w:lang w:eastAsia="ru-RU"/>
        </w:rPr>
      </w:pPr>
    </w:p>
    <w:p w:rsidR="00D957BF" w:rsidRPr="00D957BF" w:rsidRDefault="00D957BF" w:rsidP="00D957BF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noProof/>
          <w:spacing w:val="14"/>
          <w:sz w:val="28"/>
          <w:szCs w:val="28"/>
          <w:lang w:val="ru-RU" w:eastAsia="ru-RU"/>
        </w:rPr>
      </w:pPr>
      <w:r w:rsidRPr="00D957BF">
        <w:rPr>
          <w:rFonts w:ascii="Times New Roman" w:eastAsia="Times New Roman" w:hAnsi="Times New Roman" w:cs="Times New Roman"/>
          <w:b/>
          <w:bCs/>
          <w:iCs/>
          <w:noProof/>
          <w:spacing w:val="14"/>
          <w:sz w:val="28"/>
          <w:szCs w:val="28"/>
          <w:lang w:eastAsia="ru-RU"/>
        </w:rPr>
        <w:t>ВОЛИНСЬКА ОБЛАСНА ДЕРЖАВНА АДМІНІСТРАЦІЯ</w:t>
      </w:r>
    </w:p>
    <w:p w:rsidR="00D957BF" w:rsidRPr="00D957BF" w:rsidRDefault="00D957BF" w:rsidP="00D957B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D957BF" w:rsidRPr="00D957BF" w:rsidRDefault="00D957BF" w:rsidP="00D95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32"/>
          <w:szCs w:val="24"/>
          <w:lang w:eastAsia="ru-RU"/>
        </w:rPr>
      </w:pPr>
      <w:r w:rsidRPr="00D957BF">
        <w:rPr>
          <w:rFonts w:ascii="Times New Roman" w:eastAsia="Times New Roman" w:hAnsi="Times New Roman" w:cs="Times New Roman"/>
          <w:b/>
          <w:bCs/>
          <w:noProof/>
          <w:sz w:val="32"/>
          <w:szCs w:val="24"/>
          <w:lang w:eastAsia="ru-RU"/>
        </w:rPr>
        <w:t>РОЗПОРЯДЖЕННЯ</w:t>
      </w:r>
    </w:p>
    <w:p w:rsidR="00D957BF" w:rsidRPr="00D957BF" w:rsidRDefault="00D957BF" w:rsidP="00D957BF">
      <w:pPr>
        <w:keepNext/>
        <w:numPr>
          <w:ilvl w:val="0"/>
          <w:numId w:val="1"/>
        </w:numPr>
        <w:tabs>
          <w:tab w:val="left" w:pos="1423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</w:p>
    <w:p w:rsidR="00D957BF" w:rsidRPr="00D957BF" w:rsidRDefault="00CA3B3C" w:rsidP="00D957BF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03</w:t>
      </w:r>
      <w:r w:rsidR="00D957BF">
        <w:rPr>
          <w:rFonts w:ascii="Times New Roman" w:eastAsia="Times New Roman" w:hAnsi="Times New Roman" w:cs="Times New Roman"/>
          <w:noProof/>
          <w:sz w:val="28"/>
          <w:szCs w:val="24"/>
          <w:lang w:val="en-US" w:eastAsia="ru-RU"/>
        </w:rPr>
        <w:t xml:space="preserve"> </w:t>
      </w:r>
      <w:r w:rsid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квітня</w:t>
      </w:r>
      <w:r w:rsidR="00D957BF"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</w:t>
      </w:r>
      <w:r w:rsidR="00D957BF" w:rsidRPr="00D957BF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201</w:t>
      </w:r>
      <w:r w:rsidR="00D957BF">
        <w:rPr>
          <w:rFonts w:ascii="Times New Roman" w:eastAsia="Times New Roman" w:hAnsi="Times New Roman" w:cs="Times New Roman"/>
          <w:noProof/>
          <w:sz w:val="28"/>
          <w:szCs w:val="24"/>
          <w:lang w:val="en-US" w:eastAsia="ru-RU"/>
        </w:rPr>
        <w:t>9</w:t>
      </w:r>
      <w:r w:rsidR="00D957BF"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року                          м.Луцьк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 </w:t>
      </w:r>
      <w:bookmarkStart w:id="0" w:name="_GoBack"/>
      <w:bookmarkEnd w:id="0"/>
      <w:r w:rsidR="00D957BF"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185</w:t>
      </w:r>
    </w:p>
    <w:p w:rsidR="00D957BF" w:rsidRPr="007E1E1F" w:rsidRDefault="00D957BF" w:rsidP="00D957BF">
      <w:pPr>
        <w:spacing w:after="0" w:line="240" w:lineRule="auto"/>
        <w:rPr>
          <w:rFonts w:ascii="Times New Roman" w:eastAsia="Times New Roman" w:hAnsi="Times New Roman" w:cs="Times New Roman"/>
          <w:noProof/>
          <w:sz w:val="16"/>
          <w:szCs w:val="16"/>
          <w:lang w:val="ru-RU" w:eastAsia="ru-RU"/>
        </w:rPr>
      </w:pPr>
    </w:p>
    <w:p w:rsidR="00D957BF" w:rsidRPr="00D957BF" w:rsidRDefault="00D957BF" w:rsidP="00D957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внесення</w:t>
      </w:r>
      <w:proofErr w:type="spellEnd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змін</w:t>
      </w:r>
      <w:proofErr w:type="spellEnd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розпорядження</w:t>
      </w:r>
      <w:proofErr w:type="spellEnd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957BF" w:rsidRPr="00D957BF" w:rsidRDefault="00D957BF" w:rsidP="00D957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обласної</w:t>
      </w:r>
      <w:proofErr w:type="spellEnd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державної</w:t>
      </w:r>
      <w:proofErr w:type="spellEnd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адміністрації</w:t>
      </w:r>
      <w:proofErr w:type="spellEnd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957BF" w:rsidRPr="00D957BF" w:rsidRDefault="00D957BF" w:rsidP="00D957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13</w:t>
      </w:r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вересня</w:t>
      </w:r>
      <w:proofErr w:type="spellEnd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201</w:t>
      </w:r>
      <w:r w:rsidR="005505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року 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605</w:t>
      </w:r>
    </w:p>
    <w:p w:rsidR="00D957BF" w:rsidRPr="007E1E1F" w:rsidRDefault="00D957BF" w:rsidP="00D957B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D957BF" w:rsidRPr="00D957BF" w:rsidRDefault="00D957BF" w:rsidP="00D957B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957BF">
        <w:rPr>
          <w:rFonts w:ascii="Times New Roman" w:eastAsia="Times New Roman" w:hAnsi="Times New Roman" w:cs="Times New Roman"/>
          <w:sz w:val="33"/>
          <w:szCs w:val="33"/>
          <w:lang w:val="ru-RU" w:eastAsia="ru-RU"/>
        </w:rPr>
        <w:tab/>
      </w:r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proofErr w:type="spellStart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підставі</w:t>
      </w:r>
      <w:proofErr w:type="spellEnd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статей 6, 39 Закону </w:t>
      </w:r>
      <w:proofErr w:type="spellStart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hyperlink r:id="rId6" w:history="1">
        <w:r w:rsidRPr="00D957B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Про місцеві державні     адміністрації</w:t>
        </w:r>
      </w:hyperlink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», </w:t>
      </w: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розпорядження Кабінету Міністрів України від 23 вересня 2015 року № 993-р «Про затвердження перспективного плану формування територій громад Волинської області»,</w:t>
      </w:r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ураховуючи звернення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Прилісненської</w:t>
      </w:r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сільської ради від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21</w:t>
      </w:r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березня</w:t>
      </w:r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року №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263/02-09/2-19</w:t>
      </w:r>
      <w:r w:rsidR="00A6362F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,</w:t>
      </w:r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та у зв</w:t>
      </w:r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t>’</w:t>
      </w:r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язку із внесенням змін до </w:t>
      </w: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перспективного плану формування територій громад Волинської області, затвердженого</w:t>
      </w:r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розпорядженням Кабінету Міністрів України від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13</w:t>
      </w:r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лютого</w:t>
      </w:r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 року №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65</w:t>
      </w:r>
      <w:r w:rsidRPr="00D957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-р:</w:t>
      </w:r>
    </w:p>
    <w:p w:rsidR="00EF1A9C" w:rsidRDefault="00D957BF" w:rsidP="00D957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57B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Унести</w:t>
      </w:r>
      <w:proofErr w:type="spellEnd"/>
      <w:r w:rsidRPr="00D95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висновку, затвердженого розпорядженням голови облдержадміністрації від 13</w:t>
      </w:r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D957B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вересня 201</w:t>
      </w:r>
      <w:r w:rsidR="0055056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957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D957B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№ 605 «</w:t>
      </w: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Про затвердження висновку Волинської обласної</w:t>
      </w:r>
      <w:r w:rsidRPr="00D95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державної адміністрації щодо відповідності Конституції та законам України проекту рішення щодо добровільного приєднання територіальних громад</w:t>
      </w:r>
      <w:r w:rsidR="00EF1A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C06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1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62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EF1A9C">
        <w:rPr>
          <w:rFonts w:ascii="Times New Roman" w:eastAsia="Times New Roman" w:hAnsi="Times New Roman" w:cs="Times New Roman"/>
          <w:sz w:val="28"/>
          <w:szCs w:val="28"/>
          <w:lang w:eastAsia="ru-RU"/>
        </w:rPr>
        <w:t>і зміни:</w:t>
      </w:r>
    </w:p>
    <w:p w:rsidR="00EF1A9C" w:rsidRPr="00EF1A9C" w:rsidRDefault="00EF1A9C" w:rsidP="00EF1A9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шости</w:t>
      </w:r>
      <w:r w:rsidR="0055056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сьомий виключити;</w:t>
      </w:r>
      <w:r w:rsidRPr="00EF1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57BF" w:rsidRPr="00EF1A9C" w:rsidRDefault="00EF1A9C" w:rsidP="00EF1A9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восьмий вважати абзацом шостим та </w:t>
      </w:r>
      <w:r w:rsidR="00D957BF" w:rsidRPr="00EF1A9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</w:t>
      </w:r>
      <w:r w:rsidR="00A636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D957BF" w:rsidRPr="00EF1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 такій редакції: </w:t>
      </w:r>
    </w:p>
    <w:p w:rsidR="00D957BF" w:rsidRPr="00D36AAA" w:rsidRDefault="00D957BF" w:rsidP="00D36A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«За результатами розгляду встановлено, що подан</w:t>
      </w:r>
      <w:r w:rsidR="0053117E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і</w:t>
      </w: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Прилісненською</w:t>
      </w: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сільською радою</w:t>
      </w:r>
      <w:r w:rsidR="00E2448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</w:t>
      </w:r>
      <w:r w:rsidR="00E24487" w:rsidRPr="00E2448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Маневицького району Волинської області, Тоболівсько</w:t>
      </w:r>
      <w:r w:rsidR="00A6362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ю</w:t>
      </w:r>
      <w:r w:rsidR="00E24487" w:rsidRPr="00E2448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сільсько</w:t>
      </w:r>
      <w:r w:rsidR="00A6362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ю</w:t>
      </w:r>
      <w:r w:rsidR="00E24487" w:rsidRPr="00E2448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рад</w:t>
      </w:r>
      <w:r w:rsidR="00A6362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ою</w:t>
      </w:r>
      <w:r w:rsidR="00E24487" w:rsidRPr="00E2448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Камінь-Каширського району Волинської області та Новочервищансько</w:t>
      </w:r>
      <w:r w:rsidR="00A6362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ю</w:t>
      </w:r>
      <w:r w:rsidR="00E24487" w:rsidRPr="00E2448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сільсько</w:t>
      </w:r>
      <w:r w:rsidR="00A6362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ю</w:t>
      </w:r>
      <w:r w:rsidR="00E24487" w:rsidRPr="00E2448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рад</w:t>
      </w:r>
      <w:r w:rsidR="00A6362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ою</w:t>
      </w:r>
      <w:r w:rsidR="00E24487" w:rsidRPr="00E2448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Камінь-Каширського району Волинської області</w:t>
      </w:r>
      <w:r w:rsidR="00E2448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</w:t>
      </w: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проект</w:t>
      </w:r>
      <w:r w:rsidR="00E2448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и</w:t>
      </w: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рішен</w:t>
      </w:r>
      <w:r w:rsidR="00E2448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ь</w:t>
      </w: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«Про добровільне приєднання територіальних громад до об’єднаної територіальної громади» відповіда</w:t>
      </w:r>
      <w:r w:rsidR="00E2448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ють</w:t>
      </w: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вимогам Конституції, законам України та Перспективному плану формування територій громад Волинської області, затвердженому розпорядженням Кабінету Міністрів України </w:t>
      </w:r>
      <w:r w:rsidR="00A6362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від 23 </w:t>
      </w:r>
      <w:r w:rsidR="00D36AAA" w:rsidRPr="00D36AAA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вересня 2015 року № 993-р (у редакції розпорядження Кабінету Міністрів України від 21 червня 2017 року № 422-р), зі змінами, внесеними розпорядженнями Кабінету Міністрів України від 16 травня 2018 року № 328-р, від 13 лютого 2019 року № 65-р.</w:t>
      </w:r>
    </w:p>
    <w:p w:rsidR="00D957BF" w:rsidRDefault="00D957BF" w:rsidP="00D957BF">
      <w:pPr>
        <w:spacing w:after="0"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56A" w:rsidRPr="00D957BF" w:rsidRDefault="0055056A" w:rsidP="00D957BF">
      <w:pPr>
        <w:spacing w:after="0"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7BF" w:rsidRPr="00D957BF" w:rsidRDefault="00D957BF" w:rsidP="00D957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</w:pP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Голова                                  </w:t>
      </w:r>
      <w:r w:rsidRPr="00D957BF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 xml:space="preserve">                                   </w:t>
      </w:r>
      <w:r w:rsidRPr="00D957BF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ab/>
        <w:t xml:space="preserve">                  О.САВЧЕНКО</w:t>
      </w:r>
    </w:p>
    <w:p w:rsidR="00D957BF" w:rsidRDefault="00D957BF" w:rsidP="00D957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</w:p>
    <w:p w:rsidR="00F0570E" w:rsidRPr="00D957BF" w:rsidRDefault="00F0570E" w:rsidP="00D957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</w:p>
    <w:p w:rsidR="00D957BF" w:rsidRPr="00D957BF" w:rsidRDefault="00D957BF" w:rsidP="00D957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</w:pP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Потапенко 778 16</w:t>
      </w: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t>0</w:t>
      </w:r>
    </w:p>
    <w:p w:rsidR="00A37D3C" w:rsidRPr="00D36AAA" w:rsidRDefault="00D957BF" w:rsidP="00D36AAA">
      <w:pPr>
        <w:spacing w:after="0" w:line="240" w:lineRule="auto"/>
        <w:ind w:right="-545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D957BF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Томчук 778 115</w:t>
      </w:r>
    </w:p>
    <w:sectPr w:rsidR="00A37D3C" w:rsidRPr="00D36AAA" w:rsidSect="00BD564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055818"/>
    <w:multiLevelType w:val="hybridMultilevel"/>
    <w:tmpl w:val="DC78A154"/>
    <w:lvl w:ilvl="0" w:tplc="0F1E37C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7BF"/>
    <w:rsid w:val="000C06F1"/>
    <w:rsid w:val="0053117E"/>
    <w:rsid w:val="0055056A"/>
    <w:rsid w:val="00711A05"/>
    <w:rsid w:val="007E1E1F"/>
    <w:rsid w:val="00885C70"/>
    <w:rsid w:val="0091209B"/>
    <w:rsid w:val="00A37D3C"/>
    <w:rsid w:val="00A6362F"/>
    <w:rsid w:val="00BD5644"/>
    <w:rsid w:val="00CA3B3C"/>
    <w:rsid w:val="00D36AAA"/>
    <w:rsid w:val="00D957BF"/>
    <w:rsid w:val="00E24487"/>
    <w:rsid w:val="00EF1A9C"/>
    <w:rsid w:val="00F01AD0"/>
    <w:rsid w:val="00F0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9F44"/>
  <w15:chartTrackingRefBased/>
  <w15:docId w15:val="{5AF993A1-5C7F-49D6-A984-1704517A2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C7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F1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rada.gov.ua/go/586-1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1414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2019-03-26T12:50:00Z</cp:lastPrinted>
  <dcterms:created xsi:type="dcterms:W3CDTF">2019-03-26T07:13:00Z</dcterms:created>
  <dcterms:modified xsi:type="dcterms:W3CDTF">2019-04-03T09:33:00Z</dcterms:modified>
</cp:coreProperties>
</file>